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ajorHAnsi" w:eastAsiaTheme="majorEastAsia" w:hAnsiTheme="majorHAnsi" w:cstheme="majorBidi"/>
          <w:b/>
          <w:noProof/>
          <w:sz w:val="72"/>
          <w:szCs w:val="72"/>
          <w:highlight w:val="yellow"/>
          <w:lang w:val="sq-AL"/>
        </w:rPr>
        <w:id w:val="5675078"/>
        <w:docPartObj>
          <w:docPartGallery w:val="Cover Pages"/>
          <w:docPartUnique/>
        </w:docPartObj>
      </w:sdtPr>
      <w:sdtEndPr>
        <w:rPr>
          <w:rFonts w:ascii="Times New Roman" w:eastAsia="Times New Roman" w:hAnsi="Times New Roman" w:cs="Times New Roman"/>
          <w:sz w:val="22"/>
          <w:szCs w:val="22"/>
        </w:rPr>
      </w:sdtEndPr>
      <w:sdtContent>
        <w:p w:rsidR="00221487" w:rsidRPr="00221487" w:rsidRDefault="00221487" w:rsidP="00221487">
          <w:pPr>
            <w:spacing w:after="0" w:line="240" w:lineRule="auto"/>
            <w:rPr>
              <w:rFonts w:asciiTheme="majorHAnsi" w:eastAsiaTheme="majorEastAsia" w:hAnsiTheme="majorHAnsi" w:cstheme="majorBidi"/>
              <w:noProof/>
              <w:sz w:val="72"/>
              <w:szCs w:val="72"/>
              <w:highlight w:val="yellow"/>
              <w:lang w:val="sq-AL"/>
            </w:rPr>
          </w:pPr>
        </w:p>
        <w:p w:rsidR="00221487" w:rsidRPr="00221487" w:rsidRDefault="005B32A4" w:rsidP="005B32A4">
          <w:pPr>
            <w:spacing w:after="0" w:line="240" w:lineRule="auto"/>
            <w:ind w:left="90"/>
            <w:rPr>
              <w:rFonts w:asciiTheme="majorHAnsi" w:eastAsiaTheme="majorEastAsia" w:hAnsiTheme="majorHAnsi" w:cstheme="majorBidi"/>
              <w:noProof/>
              <w:sz w:val="72"/>
              <w:szCs w:val="72"/>
              <w:highlight w:val="yellow"/>
              <w:lang w:val="sq-AL"/>
            </w:rPr>
          </w:pPr>
          <w:r>
            <w:rPr>
              <w:rFonts w:asciiTheme="majorHAnsi" w:eastAsiaTheme="majorEastAsia" w:hAnsiTheme="majorHAnsi" w:cstheme="majorBidi"/>
              <w:noProof/>
              <w:sz w:val="72"/>
              <w:szCs w:val="72"/>
            </w:rPr>
            <w:drawing>
              <wp:inline distT="0" distB="0" distL="0" distR="0" wp14:anchorId="73583B51" wp14:editId="1AE876E8">
                <wp:extent cx="6228715" cy="1666875"/>
                <wp:effectExtent l="0" t="0" r="63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29666" cy="1667129"/>
                        </a:xfrm>
                        <a:prstGeom prst="rect">
                          <a:avLst/>
                        </a:prstGeom>
                        <a:noFill/>
                      </pic:spPr>
                    </pic:pic>
                  </a:graphicData>
                </a:graphic>
              </wp:inline>
            </w:drawing>
          </w:r>
        </w:p>
        <w:p w:rsidR="00221487" w:rsidRPr="00221487" w:rsidRDefault="00221487" w:rsidP="00221487">
          <w:pPr>
            <w:spacing w:after="0" w:line="240" w:lineRule="auto"/>
            <w:jc w:val="center"/>
            <w:rPr>
              <w:rFonts w:asciiTheme="majorHAnsi" w:eastAsiaTheme="majorEastAsia" w:hAnsiTheme="majorHAnsi" w:cstheme="majorBidi"/>
              <w:noProof/>
              <w:sz w:val="72"/>
              <w:szCs w:val="72"/>
              <w:lang w:val="sq-AL"/>
            </w:rPr>
          </w:pPr>
        </w:p>
        <w:bookmarkStart w:id="0" w:name="_GoBack"/>
        <w:bookmarkEnd w:id="0"/>
        <w:p w:rsidR="00221487" w:rsidRPr="00221487" w:rsidRDefault="00221487" w:rsidP="00221487">
          <w:pPr>
            <w:spacing w:after="0" w:line="240" w:lineRule="auto"/>
            <w:rPr>
              <w:rFonts w:asciiTheme="majorHAnsi" w:eastAsiaTheme="majorEastAsia" w:hAnsiTheme="majorHAnsi" w:cstheme="majorBidi"/>
              <w:noProof/>
              <w:sz w:val="72"/>
              <w:szCs w:val="72"/>
              <w:highlight w:val="yellow"/>
              <w:lang w:val="sq-AL"/>
            </w:rPr>
          </w:pPr>
          <w:r w:rsidRPr="00221487">
            <w:rPr>
              <w:rFonts w:ascii="Times New Roman" w:eastAsia="Times New Roman" w:hAnsi="Times New Roman" w:cs="Times New Roman"/>
              <w:noProof/>
              <w:sz w:val="20"/>
              <w:szCs w:val="20"/>
            </w:rPr>
            <mc:AlternateContent>
              <mc:Choice Requires="wps">
                <w:drawing>
                  <wp:anchor distT="0" distB="0" distL="114300" distR="114300" simplePos="0" relativeHeight="251659264" behindDoc="0" locked="0" layoutInCell="0" allowOverlap="1" wp14:anchorId="06170FBF" wp14:editId="3DC3CFE7">
                    <wp:simplePos x="0" y="0"/>
                    <wp:positionH relativeFrom="page">
                      <wp:align>center</wp:align>
                    </wp:positionH>
                    <wp:positionV relativeFrom="page">
                      <wp:align>bottom</wp:align>
                    </wp:positionV>
                    <wp:extent cx="8146415" cy="180340"/>
                    <wp:effectExtent l="0" t="0" r="11430" b="22860"/>
                    <wp:wrapNone/>
                    <wp:docPr id="2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146415" cy="180340"/>
                            </a:xfrm>
                            <a:prstGeom prst="rect">
                              <a:avLst/>
                            </a:prstGeom>
                            <a:solidFill>
                              <a:srgbClr val="4BACC6">
                                <a:lumMod val="100000"/>
                                <a:lumOff val="0"/>
                              </a:srgbClr>
                            </a:solidFill>
                            <a:ln w="9525">
                              <a:solidFill>
                                <a:srgbClr val="4BACC6">
                                  <a:lumMod val="75000"/>
                                  <a:lumOff val="0"/>
                                </a:srgbClr>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13A0CE50" id="Rectangle 2" o:spid="_x0000_s1026" style="position:absolute;margin-left:0;margin-top:0;width:641.45pt;height:14.2pt;z-index:251659264;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" o:allowincell="f" fillcolor="#4bacc6" strokecolor="#31859c">
                    <v:path arrowok="t"/>
                    <w10:wrap anchorx="page" anchory="page"/>
                  </v:rect>
                </w:pict>
              </mc:Fallback>
            </mc:AlternateContent>
          </w:r>
          <w:r w:rsidRPr="00221487">
            <w:rPr>
              <w:rFonts w:ascii="Times New Roman" w:eastAsia="Times New Roman" w:hAnsi="Times New Roman" w:cs="Times New Roman"/>
              <w:noProof/>
              <w:sz w:val="20"/>
              <w:szCs w:val="20"/>
            </w:rPr>
            <mc:AlternateContent>
              <mc:Choice Requires="wps">
                <w:drawing>
                  <wp:anchor distT="0" distB="0" distL="114300" distR="114300" simplePos="0" relativeHeight="251662336" behindDoc="0" locked="0" layoutInCell="0" allowOverlap="1" wp14:anchorId="1C0BAFA1" wp14:editId="075D7DBF">
                    <wp:simplePos x="0" y="0"/>
                    <wp:positionH relativeFrom="leftMargin">
                      <wp:align>center</wp:align>
                    </wp:positionH>
                    <wp:positionV relativeFrom="page">
                      <wp:align>center</wp:align>
                    </wp:positionV>
                    <wp:extent cx="90805" cy="10550525"/>
                    <wp:effectExtent l="0" t="0" r="23495" b="11430"/>
                    <wp:wrapNone/>
                    <wp:docPr id="1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10550525"/>
                            </a:xfrm>
                            <a:prstGeom prst="rect">
                              <a:avLst/>
                            </a:prstGeom>
                            <a:solidFill>
                              <a:sysClr val="window" lastClr="FFFFFF">
                                <a:lumMod val="100000"/>
                                <a:lumOff val="0"/>
                              </a:sysClr>
                            </a:solidFill>
                            <a:ln w="9525">
                              <a:solidFill>
                                <a:srgbClr val="4BACC6">
                                  <a:lumMod val="75000"/>
                                  <a:lumOff val="0"/>
                                </a:srgb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2A799FB6" id="Rectangle 5" o:spid="_x0000_s1026" style="position:absolute;margin-left:0;margin-top:0;width:7.15pt;height:830.75pt;z-index:251662336;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" o:allowincell="f" strokecolor="#31859c">
                    <v:path arrowok="t"/>
                    <w10:wrap anchorx="margin" anchory="page"/>
                  </v:rect>
                </w:pict>
              </mc:Fallback>
            </mc:AlternateContent>
          </w:r>
          <w:r w:rsidRPr="00221487">
            <w:rPr>
              <w:rFonts w:ascii="Times New Roman" w:eastAsia="Times New Roman" w:hAnsi="Times New Roman" w:cs="Times New Roman"/>
              <w:noProof/>
              <w:sz w:val="20"/>
              <w:szCs w:val="20"/>
            </w:rPr>
            <mc:AlternateContent>
              <mc:Choice Requires="wps">
                <w:drawing>
                  <wp:anchor distT="0" distB="0" distL="114300" distR="114300" simplePos="0" relativeHeight="251661312" behindDoc="0" locked="0" layoutInCell="0" allowOverlap="1" wp14:anchorId="28ADBC17" wp14:editId="2C157E92">
                    <wp:simplePos x="0" y="0"/>
                    <wp:positionH relativeFrom="rightMargin">
                      <wp:align>center</wp:align>
                    </wp:positionH>
                    <wp:positionV relativeFrom="page">
                      <wp:align>center</wp:align>
                    </wp:positionV>
                    <wp:extent cx="90805" cy="10550525"/>
                    <wp:effectExtent l="0" t="0" r="23495" b="11430"/>
                    <wp:wrapNone/>
                    <wp:docPr id="1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10550525"/>
                            </a:xfrm>
                            <a:prstGeom prst="rect">
                              <a:avLst/>
                            </a:prstGeom>
                            <a:solidFill>
                              <a:sysClr val="window" lastClr="FFFFFF">
                                <a:lumMod val="100000"/>
                                <a:lumOff val="0"/>
                              </a:sysClr>
                            </a:solidFill>
                            <a:ln w="9525">
                              <a:solidFill>
                                <a:srgbClr val="4BACC6">
                                  <a:lumMod val="75000"/>
                                  <a:lumOff val="0"/>
                                </a:srgb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1C542774" id="Rectangle 4" o:spid="_x0000_s1026" style="position:absolute;margin-left:0;margin-top:0;width:7.15pt;height:830.75pt;z-index:251661312;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" o:allowincell="f" strokecolor="#31859c">
                    <v:path arrowok="t"/>
                    <w10:wrap anchorx="margin" anchory="page"/>
                  </v:rect>
                </w:pict>
              </mc:Fallback>
            </mc:AlternateContent>
          </w:r>
          <w:r w:rsidRPr="00221487">
            <w:rPr>
              <w:rFonts w:ascii="Times New Roman" w:eastAsia="Times New Roman" w:hAnsi="Times New Roman" w:cs="Times New Roman"/>
              <w:noProof/>
              <w:sz w:val="20"/>
              <w:szCs w:val="20"/>
            </w:rPr>
            <mc:AlternateContent>
              <mc:Choice Requires="wps">
                <w:drawing>
                  <wp:anchor distT="0" distB="0" distL="114300" distR="114300" simplePos="0" relativeHeight="251660288" behindDoc="0" locked="0" layoutInCell="0" allowOverlap="1" wp14:anchorId="4FA57411" wp14:editId="19627F87">
                    <wp:simplePos x="0" y="0"/>
                    <wp:positionH relativeFrom="page">
                      <wp:align>center</wp:align>
                    </wp:positionH>
                    <wp:positionV relativeFrom="topMargin">
                      <wp:align>top</wp:align>
                    </wp:positionV>
                    <wp:extent cx="8146415" cy="189865"/>
                    <wp:effectExtent l="0" t="0" r="11430" b="2286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146415" cy="189865"/>
                            </a:xfrm>
                            <a:prstGeom prst="rect">
                              <a:avLst/>
                            </a:prstGeom>
                            <a:solidFill>
                              <a:srgbClr val="4BACC6">
                                <a:lumMod val="100000"/>
                                <a:lumOff val="0"/>
                              </a:srgbClr>
                            </a:solidFill>
                            <a:ln w="9525">
                              <a:solidFill>
                                <a:srgbClr val="4BACC6">
                                  <a:lumMod val="75000"/>
                                  <a:lumOff val="0"/>
                                </a:srgbClr>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50CC36FB" id="Rectangle 3" o:spid="_x0000_s1026" style="position:absolute;margin-left:0;margin-top:0;width:641.45pt;height:14.95pt;z-index:251660288;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" o:allowincell="f" fillcolor="#4bacc6" strokecolor="#31859c">
                    <v:path arrowok="t"/>
                    <w10:wrap anchorx="page" anchory="margin"/>
                  </v:rect>
                </w:pict>
              </mc:Fallback>
            </mc:AlternateContent>
          </w:r>
        </w:p>
        <w:sdt>
          <w:sdtPr>
            <w:rPr>
              <w:rFonts w:ascii="Calibri" w:eastAsiaTheme="majorEastAsia" w:hAnsi="Calibri" w:cstheme="majorBidi"/>
              <w:b/>
              <w:sz w:val="52"/>
              <w:szCs w:val="48"/>
            </w:rPr>
            <w:alias w:val="Title"/>
            <w:id w:val="14700071"/>
            <w:dataBinding w:prefixMappings="xmlns:ns0='http://schemas.openxmlformats.org/package/2006/metadata/core-properties' xmlns:ns1='http://purl.org/dc/elements/1.1/'" w:xpath="/ns0:coreProperties[1]/ns1:title[1]" w:storeItemID="{6C3C8BC8-F283-45AE-878A-BAB7291924A1}"/>
            <w:text/>
          </w:sdtPr>
          <w:sdtEndPr/>
          <w:sdtContent>
            <w:p w:rsidR="00221487" w:rsidRPr="00221487" w:rsidRDefault="00526126" w:rsidP="000F2F95">
              <w:pPr>
                <w:spacing w:after="0" w:line="240" w:lineRule="auto"/>
                <w:jc w:val="center"/>
                <w:rPr>
                  <w:rFonts w:ascii="Calibri" w:eastAsiaTheme="majorEastAsia" w:hAnsi="Calibri" w:cstheme="majorBidi"/>
                  <w:b/>
                  <w:noProof/>
                  <w:sz w:val="52"/>
                  <w:szCs w:val="48"/>
                  <w:lang w:val="sq-AL"/>
                </w:rPr>
              </w:pPr>
              <w:r>
                <w:rPr>
                  <w:rFonts w:ascii="Calibri" w:eastAsiaTheme="majorEastAsia" w:hAnsi="Calibri" w:cstheme="majorBidi"/>
                  <w:b/>
                  <w:sz w:val="52"/>
                  <w:szCs w:val="48"/>
                </w:rPr>
                <w:t>REFORMA PER MENAXHIMIN E FINANCAVE PUBLIKE 2014-2020</w:t>
              </w:r>
            </w:p>
          </w:sdtContent>
        </w:sdt>
        <w:sdt>
          <w:sdtPr>
            <w:rPr>
              <w:rFonts w:eastAsiaTheme="majorEastAsia" w:cstheme="majorBidi"/>
              <w:noProof/>
              <w:sz w:val="28"/>
              <w:szCs w:val="28"/>
              <w:lang w:val="sq-AL"/>
            </w:rPr>
            <w:alias w:val="Subtitle"/>
            <w:id w:val="14700077"/>
            <w:showingPlcHdr/>
            <w:dataBinding w:prefixMappings="xmlns:ns0='http://schemas.openxmlformats.org/package/2006/metadata/core-properties' xmlns:ns1='http://purl.org/dc/elements/1.1/'" w:xpath="/ns0:coreProperties[1]/ns1:subject[1]" w:storeItemID="{6C3C8BC8-F283-45AE-878A-BAB7291924A1}"/>
            <w:text/>
          </w:sdtPr>
          <w:sdtEndPr/>
          <w:sdtContent>
            <w:p w:rsidR="00221487" w:rsidRPr="00221487" w:rsidRDefault="00221487" w:rsidP="00221487">
              <w:pPr>
                <w:spacing w:after="0" w:line="240" w:lineRule="auto"/>
                <w:jc w:val="center"/>
                <w:rPr>
                  <w:rFonts w:asciiTheme="majorHAnsi" w:eastAsiaTheme="majorEastAsia" w:hAnsiTheme="majorHAnsi" w:cstheme="majorBidi"/>
                  <w:noProof/>
                  <w:sz w:val="36"/>
                  <w:szCs w:val="36"/>
                  <w:lang w:val="sq-AL"/>
                </w:rPr>
              </w:pPr>
              <w:r>
                <w:rPr>
                  <w:rFonts w:eastAsiaTheme="majorEastAsia" w:cstheme="majorBidi"/>
                  <w:noProof/>
                  <w:sz w:val="28"/>
                  <w:szCs w:val="28"/>
                  <w:lang w:val="sq-AL"/>
                </w:rPr>
                <w:t xml:space="preserve">     </w:t>
              </w:r>
            </w:p>
          </w:sdtContent>
        </w:sdt>
        <w:p w:rsidR="00221487" w:rsidRPr="000F2F95" w:rsidRDefault="000F2F95" w:rsidP="00221487">
          <w:pPr>
            <w:spacing w:after="0" w:line="240" w:lineRule="auto"/>
            <w:rPr>
              <w:rFonts w:ascii="Calibri" w:eastAsiaTheme="majorEastAsia" w:hAnsi="Calibri" w:cstheme="majorBidi"/>
              <w:b/>
              <w:sz w:val="52"/>
              <w:szCs w:val="48"/>
            </w:rPr>
          </w:pPr>
          <w:r w:rsidRPr="000F2F95">
            <w:rPr>
              <w:rFonts w:ascii="Calibri" w:eastAsiaTheme="majorEastAsia" w:hAnsi="Calibri" w:cstheme="majorBidi"/>
              <w:b/>
              <w:sz w:val="52"/>
              <w:szCs w:val="48"/>
            </w:rPr>
            <w:t xml:space="preserve">                 </w:t>
          </w:r>
          <w:r>
            <w:rPr>
              <w:rFonts w:ascii="Calibri" w:eastAsiaTheme="majorEastAsia" w:hAnsi="Calibri" w:cstheme="majorBidi"/>
              <w:b/>
              <w:sz w:val="52"/>
              <w:szCs w:val="48"/>
            </w:rPr>
            <w:t xml:space="preserve">       </w:t>
          </w:r>
          <w:r w:rsidRPr="000F2F95">
            <w:rPr>
              <w:rFonts w:ascii="Calibri" w:eastAsiaTheme="majorEastAsia" w:hAnsi="Calibri" w:cstheme="majorBidi"/>
              <w:b/>
              <w:sz w:val="52"/>
              <w:szCs w:val="48"/>
            </w:rPr>
            <w:t>Raporti i Monitorimit</w:t>
          </w:r>
        </w:p>
        <w:p w:rsidR="000F2F95" w:rsidRPr="000F2F95" w:rsidRDefault="000F2F95" w:rsidP="00221487">
          <w:pPr>
            <w:spacing w:after="0" w:line="240" w:lineRule="auto"/>
            <w:rPr>
              <w:rFonts w:asciiTheme="majorHAnsi" w:eastAsiaTheme="majorEastAsia" w:hAnsiTheme="majorHAnsi" w:cstheme="majorBidi"/>
              <w:b/>
              <w:noProof/>
              <w:sz w:val="36"/>
              <w:szCs w:val="36"/>
              <w:lang w:val="sq-AL"/>
            </w:rPr>
          </w:pPr>
          <w:r w:rsidRPr="000F2F95">
            <w:rPr>
              <w:rFonts w:asciiTheme="majorHAnsi" w:eastAsiaTheme="majorEastAsia" w:hAnsiTheme="majorHAnsi" w:cstheme="majorBidi"/>
              <w:b/>
              <w:noProof/>
              <w:sz w:val="36"/>
              <w:szCs w:val="36"/>
              <w:lang w:val="sq-AL"/>
            </w:rPr>
            <w:t xml:space="preserve">                                             </w:t>
          </w:r>
          <w:r>
            <w:rPr>
              <w:rFonts w:asciiTheme="majorHAnsi" w:eastAsiaTheme="majorEastAsia" w:hAnsiTheme="majorHAnsi" w:cstheme="majorBidi"/>
              <w:b/>
              <w:noProof/>
              <w:sz w:val="36"/>
              <w:szCs w:val="36"/>
              <w:lang w:val="sq-AL"/>
            </w:rPr>
            <w:t xml:space="preserve">        </w:t>
          </w:r>
          <w:r w:rsidRPr="000F2F95">
            <w:rPr>
              <w:rFonts w:asciiTheme="majorHAnsi" w:eastAsiaTheme="majorEastAsia" w:hAnsiTheme="majorHAnsi" w:cstheme="majorBidi"/>
              <w:b/>
              <w:noProof/>
              <w:sz w:val="36"/>
              <w:szCs w:val="36"/>
              <w:lang w:val="sq-AL"/>
            </w:rPr>
            <w:t>2018</w:t>
          </w:r>
        </w:p>
        <w:p w:rsidR="00221487" w:rsidRPr="00221487" w:rsidRDefault="00221487" w:rsidP="00221487">
          <w:pPr>
            <w:spacing w:after="0" w:line="240" w:lineRule="auto"/>
            <w:rPr>
              <w:rFonts w:asciiTheme="majorHAnsi" w:eastAsiaTheme="majorEastAsia" w:hAnsiTheme="majorHAnsi" w:cstheme="majorBidi"/>
              <w:noProof/>
              <w:sz w:val="36"/>
              <w:szCs w:val="36"/>
              <w:highlight w:val="yellow"/>
              <w:lang w:val="sq-AL"/>
            </w:rPr>
          </w:pPr>
        </w:p>
        <w:p w:rsidR="00221487" w:rsidRPr="00221487" w:rsidRDefault="00221487" w:rsidP="00221487">
          <w:pPr>
            <w:spacing w:after="0" w:line="240" w:lineRule="auto"/>
            <w:rPr>
              <w:rFonts w:asciiTheme="majorHAnsi" w:eastAsiaTheme="majorEastAsia" w:hAnsiTheme="majorHAnsi" w:cstheme="majorBidi"/>
              <w:noProof/>
              <w:sz w:val="36"/>
              <w:szCs w:val="36"/>
              <w:highlight w:val="yellow"/>
              <w:lang w:val="sq-AL"/>
            </w:rPr>
          </w:pPr>
        </w:p>
        <w:p w:rsidR="00221487" w:rsidRPr="00221487" w:rsidRDefault="00221487" w:rsidP="00221487">
          <w:pPr>
            <w:spacing w:after="0" w:line="240" w:lineRule="auto"/>
            <w:rPr>
              <w:rFonts w:asciiTheme="majorHAnsi" w:eastAsiaTheme="majorEastAsia" w:hAnsiTheme="majorHAnsi" w:cstheme="majorBidi"/>
              <w:noProof/>
              <w:sz w:val="36"/>
              <w:szCs w:val="36"/>
              <w:highlight w:val="yellow"/>
              <w:lang w:val="sq-AL"/>
            </w:rPr>
          </w:pPr>
        </w:p>
        <w:p w:rsidR="00221487" w:rsidRPr="00221487" w:rsidRDefault="00221487" w:rsidP="00221487">
          <w:pPr>
            <w:spacing w:after="0" w:line="240" w:lineRule="auto"/>
            <w:rPr>
              <w:rFonts w:asciiTheme="majorHAnsi" w:eastAsiaTheme="majorEastAsia" w:hAnsiTheme="majorHAnsi" w:cstheme="majorBidi"/>
              <w:noProof/>
              <w:sz w:val="36"/>
              <w:szCs w:val="36"/>
              <w:highlight w:val="yellow"/>
              <w:lang w:val="sq-AL"/>
            </w:rPr>
          </w:pPr>
        </w:p>
        <w:p w:rsidR="00221487" w:rsidRPr="00221487" w:rsidRDefault="00221487" w:rsidP="00221487">
          <w:pPr>
            <w:spacing w:after="0" w:line="240" w:lineRule="auto"/>
            <w:rPr>
              <w:rFonts w:asciiTheme="majorHAnsi" w:eastAsiaTheme="majorEastAsia" w:hAnsiTheme="majorHAnsi" w:cstheme="majorBidi"/>
              <w:noProof/>
              <w:sz w:val="36"/>
              <w:szCs w:val="36"/>
              <w:highlight w:val="yellow"/>
              <w:lang w:val="sq-AL"/>
            </w:rPr>
          </w:pPr>
        </w:p>
        <w:p w:rsidR="00221487" w:rsidRPr="00221487" w:rsidRDefault="00221487" w:rsidP="00221487">
          <w:pPr>
            <w:spacing w:after="0" w:line="240" w:lineRule="auto"/>
            <w:rPr>
              <w:rFonts w:asciiTheme="majorHAnsi" w:eastAsiaTheme="majorEastAsia" w:hAnsiTheme="majorHAnsi" w:cstheme="majorBidi"/>
              <w:noProof/>
              <w:sz w:val="36"/>
              <w:szCs w:val="36"/>
              <w:highlight w:val="yellow"/>
              <w:lang w:val="sq-AL"/>
            </w:rPr>
          </w:pPr>
        </w:p>
        <w:p w:rsidR="00221487" w:rsidRPr="00221487" w:rsidRDefault="00221487" w:rsidP="00221487">
          <w:pPr>
            <w:spacing w:after="0" w:line="240" w:lineRule="auto"/>
            <w:rPr>
              <w:rFonts w:asciiTheme="majorHAnsi" w:eastAsiaTheme="majorEastAsia" w:hAnsiTheme="majorHAnsi" w:cstheme="majorBidi"/>
              <w:noProof/>
              <w:sz w:val="36"/>
              <w:szCs w:val="36"/>
              <w:highlight w:val="yellow"/>
              <w:lang w:val="sq-AL"/>
            </w:rPr>
          </w:pPr>
        </w:p>
        <w:p w:rsidR="00221487" w:rsidRPr="00221487" w:rsidRDefault="00221487" w:rsidP="00221487">
          <w:pPr>
            <w:spacing w:after="0" w:line="240" w:lineRule="auto"/>
            <w:rPr>
              <w:rFonts w:asciiTheme="majorHAnsi" w:eastAsiaTheme="majorEastAsia" w:hAnsiTheme="majorHAnsi" w:cstheme="majorBidi"/>
              <w:noProof/>
              <w:sz w:val="36"/>
              <w:szCs w:val="36"/>
              <w:highlight w:val="yellow"/>
              <w:lang w:val="sq-AL"/>
            </w:rPr>
          </w:pPr>
        </w:p>
        <w:p w:rsidR="00221487" w:rsidRPr="00221487" w:rsidRDefault="00221487" w:rsidP="00221487">
          <w:pPr>
            <w:spacing w:after="0" w:line="240" w:lineRule="auto"/>
            <w:rPr>
              <w:rFonts w:asciiTheme="majorHAnsi" w:eastAsiaTheme="majorEastAsia" w:hAnsiTheme="majorHAnsi" w:cstheme="majorBidi"/>
              <w:noProof/>
              <w:sz w:val="36"/>
              <w:szCs w:val="36"/>
              <w:highlight w:val="yellow"/>
              <w:lang w:val="sq-AL"/>
            </w:rPr>
          </w:pPr>
        </w:p>
        <w:p w:rsidR="00221487" w:rsidRPr="00221487" w:rsidRDefault="00221487" w:rsidP="00221487">
          <w:pPr>
            <w:spacing w:after="0" w:line="240" w:lineRule="auto"/>
            <w:rPr>
              <w:rFonts w:asciiTheme="majorHAnsi" w:eastAsiaTheme="majorEastAsia" w:hAnsiTheme="majorHAnsi" w:cstheme="majorBidi"/>
              <w:noProof/>
              <w:sz w:val="36"/>
              <w:szCs w:val="36"/>
              <w:highlight w:val="yellow"/>
              <w:lang w:val="sq-AL"/>
            </w:rPr>
          </w:pPr>
        </w:p>
        <w:p w:rsidR="00221487" w:rsidRPr="00221487" w:rsidRDefault="00221487" w:rsidP="00221487">
          <w:pPr>
            <w:spacing w:after="0" w:line="240" w:lineRule="auto"/>
            <w:rPr>
              <w:rFonts w:asciiTheme="majorHAnsi" w:eastAsiaTheme="majorEastAsia" w:hAnsiTheme="majorHAnsi" w:cstheme="majorBidi"/>
              <w:noProof/>
              <w:sz w:val="36"/>
              <w:szCs w:val="36"/>
              <w:lang w:val="sq-AL"/>
            </w:rPr>
          </w:pPr>
        </w:p>
        <w:sdt>
          <w:sdtPr>
            <w:rPr>
              <w:rFonts w:eastAsia="Times New Roman" w:cs="Times New Roman"/>
              <w:noProof/>
              <w:sz w:val="28"/>
              <w:szCs w:val="28"/>
              <w:lang w:val="sq-AL"/>
            </w:rPr>
            <w:alias w:val="Date"/>
            <w:id w:val="14700083"/>
            <w:showingPlcHdr/>
            <w:dataBinding w:prefixMappings="xmlns:ns0='http://schemas.microsoft.com/office/2006/coverPageProps'" w:xpath="/ns0:CoverPageProperties[1]/ns0:PublishDate[1]" w:storeItemID="{55AF091B-3C7A-41E3-B477-F2FDAA23CFDA}"/>
            <w:date w:fullDate="2019-03-01T00:00:00Z">
              <w:dateFormat w:val="M/d/yyyy"/>
              <w:lid w:val="en-US"/>
              <w:storeMappedDataAs w:val="dateTime"/>
              <w:calendar w:val="gregorian"/>
            </w:date>
          </w:sdtPr>
          <w:sdtEndPr/>
          <w:sdtContent>
            <w:p w:rsidR="00221487" w:rsidRPr="00221487" w:rsidRDefault="00221487" w:rsidP="00221487">
              <w:pPr>
                <w:spacing w:after="0" w:line="240" w:lineRule="auto"/>
                <w:rPr>
                  <w:rFonts w:eastAsia="Times New Roman" w:cs="Times New Roman"/>
                  <w:noProof/>
                  <w:sz w:val="28"/>
                  <w:szCs w:val="28"/>
                  <w:lang w:val="sq-AL"/>
                </w:rPr>
              </w:pPr>
              <w:r w:rsidRPr="00221487">
                <w:rPr>
                  <w:rFonts w:eastAsia="Times New Roman" w:cs="Times New Roman"/>
                  <w:noProof/>
                  <w:sz w:val="28"/>
                  <w:szCs w:val="28"/>
                  <w:lang w:val="sq-AL"/>
                </w:rPr>
                <w:t xml:space="preserve">     </w:t>
              </w:r>
            </w:p>
          </w:sdtContent>
        </w:sdt>
        <w:p w:rsidR="00221487" w:rsidRPr="00526126" w:rsidRDefault="006E7A35" w:rsidP="00526126">
          <w:pPr>
            <w:spacing w:after="0" w:line="240" w:lineRule="auto"/>
            <w:rPr>
              <w:rFonts w:eastAsia="Times New Roman" w:cs="Times New Roman"/>
              <w:noProof/>
              <w:sz w:val="36"/>
              <w:szCs w:val="28"/>
              <w:lang w:val="sq-AL"/>
            </w:rPr>
          </w:pPr>
          <w:sdt>
            <w:sdtPr>
              <w:rPr>
                <w:rFonts w:eastAsia="Times New Roman" w:cs="Times New Roman"/>
                <w:noProof/>
                <w:sz w:val="36"/>
                <w:szCs w:val="28"/>
                <w:lang w:val="sq-AL"/>
              </w:rPr>
              <w:alias w:val="Company"/>
              <w:id w:val="14700089"/>
              <w:showingPlcHdr/>
              <w:dataBinding w:prefixMappings="xmlns:ns0='http://schemas.openxmlformats.org/officeDocument/2006/extended-properties'" w:xpath="/ns0:Properties[1]/ns0:Company[1]" w:storeItemID="{6668398D-A668-4E3E-A5EB-62B293D839F1}"/>
              <w:text/>
            </w:sdtPr>
            <w:sdtEndPr/>
            <w:sdtContent>
              <w:r w:rsidR="00221487">
                <w:rPr>
                  <w:rFonts w:eastAsia="Times New Roman" w:cs="Times New Roman"/>
                  <w:noProof/>
                  <w:sz w:val="36"/>
                  <w:szCs w:val="28"/>
                  <w:lang w:val="sq-AL"/>
                </w:rPr>
                <w:t xml:space="preserve">     </w:t>
              </w:r>
            </w:sdtContent>
          </w:sdt>
          <w:r w:rsidR="00221487" w:rsidRPr="00221487">
            <w:rPr>
              <w:rFonts w:ascii="Times New Roman" w:eastAsia="Times New Roman" w:hAnsi="Times New Roman" w:cs="Times New Roman"/>
              <w:noProof/>
              <w:sz w:val="28"/>
              <w:lang w:val="sq-AL"/>
            </w:rPr>
            <w:t>Prill 2019</w:t>
          </w:r>
        </w:p>
        <w:p w:rsidR="00221487" w:rsidRPr="00221487" w:rsidRDefault="00221487" w:rsidP="00221487">
          <w:pPr>
            <w:spacing w:after="0" w:line="240" w:lineRule="auto"/>
            <w:jc w:val="both"/>
            <w:rPr>
              <w:rFonts w:ascii="Times New Roman" w:eastAsia="Times New Roman" w:hAnsi="Times New Roman" w:cs="Times New Roman"/>
              <w:noProof/>
              <w:highlight w:val="yellow"/>
              <w:lang w:val="sq-AL"/>
            </w:rPr>
          </w:pPr>
        </w:p>
        <w:p w:rsidR="00221487" w:rsidRPr="00221487" w:rsidRDefault="00221487" w:rsidP="00221487">
          <w:pPr>
            <w:spacing w:after="0" w:line="240" w:lineRule="auto"/>
            <w:jc w:val="both"/>
            <w:rPr>
              <w:rFonts w:ascii="Times New Roman" w:eastAsia="Times New Roman" w:hAnsi="Times New Roman" w:cs="Times New Roman"/>
              <w:noProof/>
              <w:highlight w:val="yellow"/>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p>
        <w:tbl>
          <w:tblPr>
            <w:tblW w:w="8094" w:type="dxa"/>
            <w:tblLook w:val="04A0" w:firstRow="1" w:lastRow="0" w:firstColumn="1" w:lastColumn="0" w:noHBand="0" w:noVBand="1"/>
          </w:tblPr>
          <w:tblGrid>
            <w:gridCol w:w="8094"/>
          </w:tblGrid>
          <w:tr w:rsidR="00221487" w:rsidRPr="00221487" w:rsidTr="004342D7">
            <w:trPr>
              <w:trHeight w:val="405"/>
            </w:trPr>
            <w:tc>
              <w:tcPr>
                <w:tcW w:w="8094" w:type="dxa"/>
                <w:shd w:val="clear" w:color="auto" w:fill="auto"/>
                <w:noWrap/>
                <w:vAlign w:val="center"/>
              </w:tcPr>
              <w:p w:rsidR="00221487" w:rsidRPr="00221487" w:rsidRDefault="006E7A35" w:rsidP="00221487">
                <w:pPr>
                  <w:tabs>
                    <w:tab w:val="center" w:pos="4680"/>
                  </w:tabs>
                  <w:spacing w:after="0" w:line="275" w:lineRule="atLeast"/>
                  <w:jc w:val="center"/>
                  <w:rPr>
                    <w:rFonts w:ascii="Times New Roman" w:eastAsia="Times New Roman" w:hAnsi="Times New Roman" w:cs="Times New Roman"/>
                    <w:b/>
                    <w:noProof/>
                    <w:lang w:val="sq-AL"/>
                  </w:rPr>
                </w:pPr>
              </w:p>
            </w:tc>
          </w:tr>
        </w:tbl>
      </w:sdtContent>
    </w:sdt>
    <w:bookmarkStart w:id="1" w:name="_Toc442702139"/>
    <w:p w:rsidR="00221487" w:rsidRPr="00221487" w:rsidRDefault="00221487" w:rsidP="00221487">
      <w:pPr>
        <w:spacing w:after="0" w:line="240" w:lineRule="auto"/>
        <w:jc w:val="both"/>
        <w:rPr>
          <w:rFonts w:ascii="Times New Roman" w:eastAsia="Times New Roman" w:hAnsi="Times New Roman" w:cs="Times New Roman"/>
          <w:noProof/>
          <w:sz w:val="20"/>
          <w:szCs w:val="20"/>
          <w:lang w:val="sq-AL" w:eastAsia="en-GB"/>
        </w:rPr>
      </w:pPr>
      <w:r w:rsidRPr="00221487">
        <w:rPr>
          <w:rFonts w:ascii="Times New Roman" w:eastAsia="Times" w:hAnsi="Times New Roman" w:cs="Times New Roman"/>
          <w:noProof/>
          <w:lang w:val="sq-AL"/>
        </w:rPr>
        <w:fldChar w:fldCharType="begin"/>
      </w:r>
      <w:r w:rsidRPr="00221487">
        <w:rPr>
          <w:rFonts w:ascii="Times New Roman" w:eastAsia="Times" w:hAnsi="Times New Roman" w:cs="Times New Roman"/>
          <w:noProof/>
          <w:lang w:val="sq-AL"/>
        </w:rPr>
        <w:instrText xml:space="preserve"> LINK Excel.Sheet.12 Book1 Sheet1!R1C1:R93C2 \a \f 5 \h  \* MERGEFORMAT </w:instrText>
      </w:r>
      <w:r w:rsidRPr="00221487">
        <w:rPr>
          <w:rFonts w:ascii="Times New Roman" w:eastAsia="Times" w:hAnsi="Times New Roman" w:cs="Times New Roman"/>
          <w:noProof/>
          <w:lang w:val="sq-AL"/>
        </w:rPr>
        <w:fldChar w:fldCharType="separate"/>
      </w:r>
    </w:p>
    <w:tbl>
      <w:tblPr>
        <w:tblStyle w:val="TableGrid"/>
        <w:tblW w:w="73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0"/>
        <w:gridCol w:w="6149"/>
      </w:tblGrid>
      <w:tr w:rsidR="00221487" w:rsidRPr="00221487" w:rsidTr="004342D7">
        <w:trPr>
          <w:trHeight w:val="509"/>
        </w:trPr>
        <w:tc>
          <w:tcPr>
            <w:tcW w:w="7319" w:type="dxa"/>
            <w:gridSpan w:val="2"/>
            <w:vMerge w:val="restart"/>
            <w:noWrap/>
            <w:hideMark/>
          </w:tcPr>
          <w:p w:rsidR="00221487" w:rsidRPr="00221487" w:rsidRDefault="00221487" w:rsidP="00221487">
            <w:pPr>
              <w:jc w:val="both"/>
              <w:rPr>
                <w:rFonts w:eastAsia="Times"/>
                <w:b/>
                <w:bCs/>
                <w:noProof/>
                <w:lang w:val="sq-AL"/>
              </w:rPr>
            </w:pPr>
            <w:r w:rsidRPr="00221487">
              <w:rPr>
                <w:rFonts w:eastAsia="Times"/>
                <w:b/>
                <w:bCs/>
                <w:noProof/>
                <w:lang w:val="sq-AL"/>
              </w:rPr>
              <w:t>Listë e akronimeve</w:t>
            </w:r>
          </w:p>
        </w:tc>
      </w:tr>
      <w:tr w:rsidR="00221487" w:rsidRPr="00221487" w:rsidTr="004342D7">
        <w:trPr>
          <w:trHeight w:val="509"/>
        </w:trPr>
        <w:tc>
          <w:tcPr>
            <w:tcW w:w="7319" w:type="dxa"/>
            <w:gridSpan w:val="2"/>
            <w:vMerge/>
            <w:hideMark/>
          </w:tcPr>
          <w:p w:rsidR="00221487" w:rsidRPr="00221487" w:rsidRDefault="00221487" w:rsidP="00221487">
            <w:pPr>
              <w:jc w:val="both"/>
              <w:rPr>
                <w:rFonts w:eastAsia="Times"/>
                <w:b/>
                <w:bCs/>
                <w:noProof/>
                <w:lang w:val="sq-AL"/>
              </w:rPr>
            </w:pP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AB</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Auditimi i Brendshëm</w:t>
            </w:r>
          </w:p>
        </w:tc>
      </w:tr>
      <w:tr w:rsidR="00E8078C" w:rsidRPr="005B32A4"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AKSHI</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 xml:space="preserve">Agjencia Kombëtare e Shoqërisë së Informacionit </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AOShI</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Agjencia e Ofrimit të Shërbimeve të Integruara</w:t>
            </w:r>
          </w:p>
        </w:tc>
      </w:tr>
      <w:tr w:rsidR="00E8078C" w:rsidRPr="00221487" w:rsidTr="004342D7">
        <w:trPr>
          <w:trHeight w:val="300"/>
        </w:trPr>
        <w:tc>
          <w:tcPr>
            <w:tcW w:w="1170" w:type="dxa"/>
            <w:noWrap/>
            <w:hideMark/>
          </w:tcPr>
          <w:p w:rsidR="00E8078C" w:rsidRPr="00232274" w:rsidRDefault="00E8078C" w:rsidP="00232274">
            <w:pPr>
              <w:jc w:val="both"/>
              <w:rPr>
                <w:rFonts w:eastAsia="Times"/>
                <w:noProof/>
                <w:lang w:val="sq-AL"/>
              </w:rPr>
            </w:pPr>
            <w:r w:rsidRPr="00221487">
              <w:rPr>
                <w:rFonts w:eastAsia="Times"/>
                <w:noProof/>
                <w:lang w:val="sq-AL"/>
              </w:rPr>
              <w:t>APP</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Agjencia e Prokurimit Publik</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ASPA</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 xml:space="preserve">Shkolla Shqiptare e Administratës Publike </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AT</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 xml:space="preserve">Asistencë Teknike </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BB</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Banka Botërore</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BE</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Bashkimi Evropian</w:t>
            </w:r>
          </w:p>
        </w:tc>
      </w:tr>
      <w:tr w:rsidR="00E8078C" w:rsidRPr="005B32A4"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BERZH</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 xml:space="preserve">Banka Evropiane për Rindërtim dhe Zhvillim </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BSH</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Banka e Shqipërisë</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BVSFQ</w:t>
            </w:r>
          </w:p>
        </w:tc>
        <w:tc>
          <w:tcPr>
            <w:tcW w:w="6149" w:type="dxa"/>
            <w:noWrap/>
            <w:hideMark/>
          </w:tcPr>
          <w:p w:rsidR="00E8078C" w:rsidRPr="00221487" w:rsidRDefault="00E8078C" w:rsidP="00221487">
            <w:pPr>
              <w:jc w:val="both"/>
              <w:rPr>
                <w:rFonts w:eastAsia="Times"/>
                <w:noProof/>
                <w:lang w:val="sq-AL"/>
              </w:rPr>
            </w:pPr>
            <w:r w:rsidRPr="00221487">
              <w:rPr>
                <w:rFonts w:eastAsia="Times"/>
                <w:iCs/>
                <w:noProof/>
                <w:lang w:val="sq-AL"/>
              </w:rPr>
              <w:t xml:space="preserve">Buletini Vjetor i Statistikave Financiare të Qeverisë </w:t>
            </w:r>
          </w:p>
        </w:tc>
      </w:tr>
      <w:tr w:rsidR="00E8078C" w:rsidRPr="005B32A4"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DPD</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Drejtoria e Përgjithshme e Doganave</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DPT</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 xml:space="preserve">Drejtoria e Përgjithshme e Tatimeve </w:t>
            </w:r>
          </w:p>
        </w:tc>
      </w:tr>
      <w:tr w:rsidR="00E8078C" w:rsidRPr="00221487" w:rsidTr="004342D7">
        <w:trPr>
          <w:trHeight w:val="300"/>
        </w:trPr>
        <w:tc>
          <w:tcPr>
            <w:tcW w:w="1170" w:type="dxa"/>
            <w:noWrap/>
          </w:tcPr>
          <w:p w:rsidR="00E8078C" w:rsidRPr="00221487" w:rsidRDefault="00E8078C" w:rsidP="00221487">
            <w:pPr>
              <w:jc w:val="both"/>
              <w:rPr>
                <w:rFonts w:eastAsia="Times"/>
                <w:noProof/>
                <w:lang w:val="sq-AL"/>
              </w:rPr>
            </w:pPr>
            <w:r>
              <w:rPr>
                <w:rFonts w:eastAsia="Times"/>
                <w:noProof/>
                <w:lang w:val="sq-AL"/>
              </w:rPr>
              <w:t>DZHM</w:t>
            </w:r>
          </w:p>
        </w:tc>
        <w:tc>
          <w:tcPr>
            <w:tcW w:w="6149" w:type="dxa"/>
            <w:noWrap/>
          </w:tcPr>
          <w:p w:rsidR="00E8078C" w:rsidRPr="00221487" w:rsidRDefault="00E8078C" w:rsidP="00221487">
            <w:pPr>
              <w:jc w:val="both"/>
              <w:rPr>
                <w:rFonts w:eastAsia="Times"/>
                <w:noProof/>
                <w:lang w:val="sq-AL"/>
              </w:rPr>
            </w:pPr>
            <w:r w:rsidRPr="00221487">
              <w:rPr>
                <w:noProof/>
                <w:lang w:val="sq-AL"/>
              </w:rPr>
              <w:t>Departamenti për Zhvillim dhe Mirëqeverisje</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EUROSAI</w:t>
            </w:r>
          </w:p>
        </w:tc>
        <w:tc>
          <w:tcPr>
            <w:tcW w:w="6149" w:type="dxa"/>
            <w:noWrap/>
            <w:hideMark/>
          </w:tcPr>
          <w:p w:rsidR="00E8078C" w:rsidRPr="00221487" w:rsidRDefault="00E8078C" w:rsidP="00221487">
            <w:pPr>
              <w:jc w:val="both"/>
              <w:rPr>
                <w:rFonts w:eastAsia="Times"/>
                <w:noProof/>
                <w:lang w:val="sq-AL"/>
              </w:rPr>
            </w:pPr>
            <w:r w:rsidRPr="00221487">
              <w:rPr>
                <w:noProof/>
                <w:lang w:val="sq-AL"/>
              </w:rPr>
              <w:t>Organizata Evropiane e Institucioneve Supreme të Auditimit (OEISA)</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FMN</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Fondi Monetar Ndërkombëtar</w:t>
            </w:r>
          </w:p>
        </w:tc>
      </w:tr>
      <w:tr w:rsidR="00E8078C" w:rsidRPr="005B32A4"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FPDhK</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Faqja Përmbledhëse e të Dhënave Kombëtare</w:t>
            </w:r>
          </w:p>
        </w:tc>
      </w:tr>
      <w:tr w:rsidR="00E8078C" w:rsidRPr="005B32A4"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FZhR</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Fondi për Zhvillimin e Rajoneve</w:t>
            </w:r>
          </w:p>
        </w:tc>
      </w:tr>
      <w:tr w:rsidR="00E8078C" w:rsidRPr="00221487" w:rsidTr="004342D7">
        <w:trPr>
          <w:trHeight w:val="300"/>
        </w:trPr>
        <w:tc>
          <w:tcPr>
            <w:tcW w:w="1170" w:type="dxa"/>
            <w:noWrap/>
          </w:tcPr>
          <w:p w:rsidR="00E8078C" w:rsidRPr="00221487" w:rsidRDefault="00E8078C" w:rsidP="00221487">
            <w:pPr>
              <w:jc w:val="both"/>
              <w:rPr>
                <w:rFonts w:eastAsia="Times"/>
                <w:noProof/>
                <w:lang w:val="sq-AL"/>
              </w:rPr>
            </w:pPr>
            <w:r>
              <w:rPr>
                <w:rFonts w:eastAsia="Times"/>
                <w:noProof/>
                <w:lang w:val="sq-AL"/>
              </w:rPr>
              <w:t>GIMP</w:t>
            </w:r>
          </w:p>
        </w:tc>
        <w:tc>
          <w:tcPr>
            <w:tcW w:w="6149" w:type="dxa"/>
            <w:noWrap/>
          </w:tcPr>
          <w:p w:rsidR="00E8078C" w:rsidRPr="00221487" w:rsidRDefault="00E8078C" w:rsidP="00221487">
            <w:pPr>
              <w:spacing w:line="0" w:lineRule="atLeast"/>
              <w:jc w:val="both"/>
              <w:rPr>
                <w:noProof/>
                <w:lang w:val="sq-AL"/>
              </w:rPr>
            </w:pPr>
            <w:r w:rsidRPr="00221487">
              <w:rPr>
                <w:noProof/>
                <w:lang w:val="sq-AL"/>
              </w:rPr>
              <w:t>Grupi i Integruar i Menaxhimit të Politikave</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IB</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 xml:space="preserve">Institucione Buxhetore </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IHD</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Investimet e Huaja Direkte</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INSTAT</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Instituti i Statistikave</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INTOSAI</w:t>
            </w:r>
          </w:p>
        </w:tc>
        <w:tc>
          <w:tcPr>
            <w:tcW w:w="6149" w:type="dxa"/>
            <w:noWrap/>
            <w:hideMark/>
          </w:tcPr>
          <w:p w:rsidR="00E8078C" w:rsidRPr="00221487" w:rsidRDefault="00E8078C" w:rsidP="00221487">
            <w:pPr>
              <w:spacing w:line="0" w:lineRule="atLeast"/>
              <w:jc w:val="both"/>
              <w:rPr>
                <w:noProof/>
                <w:lang w:val="sq-AL"/>
              </w:rPr>
            </w:pPr>
            <w:r w:rsidRPr="00221487">
              <w:rPr>
                <w:noProof/>
                <w:lang w:val="sq-AL"/>
              </w:rPr>
              <w:t>Organizata Ndërkombëtare e Institucioneve të Larta të Auditimit (ONILA)</w:t>
            </w:r>
          </w:p>
          <w:p w:rsidR="00E8078C" w:rsidRPr="00221487" w:rsidRDefault="00E8078C" w:rsidP="00221487">
            <w:pPr>
              <w:jc w:val="both"/>
              <w:rPr>
                <w:rFonts w:eastAsia="Times"/>
                <w:noProof/>
                <w:lang w:val="sq-AL"/>
              </w:rPr>
            </w:pPr>
            <w:r w:rsidRPr="00221487">
              <w:rPr>
                <w:rFonts w:eastAsia="Times"/>
                <w:noProof/>
                <w:lang w:val="sq-AL"/>
              </w:rPr>
              <w:t xml:space="preserve"> </w:t>
            </w:r>
          </w:p>
        </w:tc>
      </w:tr>
      <w:tr w:rsidR="00E8078C" w:rsidRPr="00221487" w:rsidTr="004342D7">
        <w:trPr>
          <w:trHeight w:val="300"/>
        </w:trPr>
        <w:tc>
          <w:tcPr>
            <w:tcW w:w="1170" w:type="dxa"/>
            <w:noWrap/>
            <w:hideMark/>
          </w:tcPr>
          <w:p w:rsidR="00E8078C" w:rsidRPr="002B1D74" w:rsidRDefault="00E8078C" w:rsidP="002B1D74">
            <w:pPr>
              <w:jc w:val="both"/>
              <w:rPr>
                <w:rFonts w:eastAsia="Times"/>
                <w:noProof/>
                <w:lang w:val="sq-AL"/>
              </w:rPr>
            </w:pPr>
            <w:r w:rsidRPr="00221487">
              <w:rPr>
                <w:rFonts w:eastAsia="Times"/>
                <w:noProof/>
                <w:lang w:val="sq-AL"/>
              </w:rPr>
              <w:t>IPA</w:t>
            </w:r>
          </w:p>
        </w:tc>
        <w:tc>
          <w:tcPr>
            <w:tcW w:w="6149" w:type="dxa"/>
            <w:noWrap/>
            <w:hideMark/>
          </w:tcPr>
          <w:p w:rsidR="00E8078C" w:rsidRPr="00221487" w:rsidRDefault="00E8078C" w:rsidP="002B1D74">
            <w:pPr>
              <w:spacing w:line="0" w:lineRule="atLeast"/>
              <w:jc w:val="both"/>
              <w:rPr>
                <w:noProof/>
                <w:lang w:val="sq-AL"/>
              </w:rPr>
            </w:pPr>
            <w:r w:rsidRPr="00221487">
              <w:rPr>
                <w:noProof/>
                <w:lang w:val="sq-AL"/>
              </w:rPr>
              <w:t>Instrumenti për Ndihmë Para - Aderimit</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IPF</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Instrumenti i Planifikimit Financiar</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IPV</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 xml:space="preserve">Institucioni i Përbashkët i Vjenës </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KBFP</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Kontrolli i Brendshëm Financiar Publik</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KBFP</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 xml:space="preserve">Kontrolli i Brendshëm Financiar Publik  </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KE</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 xml:space="preserve">Komisioni Evropian </w:t>
            </w:r>
          </w:p>
        </w:tc>
      </w:tr>
      <w:tr w:rsidR="00E8078C" w:rsidRPr="00221487" w:rsidTr="004342D7">
        <w:trPr>
          <w:trHeight w:val="300"/>
        </w:trPr>
        <w:tc>
          <w:tcPr>
            <w:tcW w:w="1170" w:type="dxa"/>
            <w:noWrap/>
            <w:hideMark/>
          </w:tcPr>
          <w:p w:rsidR="00E8078C" w:rsidRPr="00232274" w:rsidRDefault="00E8078C" w:rsidP="00232274">
            <w:pPr>
              <w:jc w:val="both"/>
              <w:rPr>
                <w:rFonts w:eastAsia="Times"/>
                <w:noProof/>
                <w:lang w:val="sq-AL"/>
              </w:rPr>
            </w:pPr>
            <w:r w:rsidRPr="00221487">
              <w:rPr>
                <w:rFonts w:eastAsia="Times"/>
                <w:noProof/>
                <w:lang w:val="sq-AL"/>
              </w:rPr>
              <w:t>KKI</w:t>
            </w:r>
          </w:p>
        </w:tc>
        <w:tc>
          <w:tcPr>
            <w:tcW w:w="6149" w:type="dxa"/>
            <w:noWrap/>
            <w:hideMark/>
          </w:tcPr>
          <w:p w:rsidR="00E8078C" w:rsidRPr="00232274" w:rsidRDefault="00E8078C" w:rsidP="00232274">
            <w:pPr>
              <w:jc w:val="both"/>
              <w:rPr>
                <w:rFonts w:eastAsia="Times"/>
                <w:noProof/>
                <w:lang w:val="sq-AL"/>
              </w:rPr>
            </w:pPr>
            <w:r w:rsidRPr="00221487">
              <w:rPr>
                <w:rFonts w:eastAsia="Times"/>
                <w:noProof/>
                <w:lang w:val="sq-AL"/>
              </w:rPr>
              <w:t>Këshilli Kombëtar i Investimit</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KLSH</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 xml:space="preserve">Kontrolli i Lartë i Shtetit </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KMF</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Kontrolli i Menaxhimit Financiar</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KPS</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Komiteti i Planifikimit Strategjik</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KRSMFP</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Kontrata për Reformën në Sektorin e Menaxhimit Financiar Publik</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KSh</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Kompani Shtetërore</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LOB</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 xml:space="preserve">Ligji Organik për Buxhetin  </w:t>
            </w:r>
          </w:p>
        </w:tc>
      </w:tr>
      <w:tr w:rsidR="00E8078C" w:rsidRPr="00221487" w:rsidTr="004342D7">
        <w:trPr>
          <w:trHeight w:val="300"/>
        </w:trPr>
        <w:tc>
          <w:tcPr>
            <w:tcW w:w="1170" w:type="dxa"/>
            <w:noWrap/>
          </w:tcPr>
          <w:p w:rsidR="00E8078C" w:rsidRPr="00221487" w:rsidRDefault="00E8078C" w:rsidP="00221487">
            <w:pPr>
              <w:jc w:val="both"/>
              <w:rPr>
                <w:rFonts w:eastAsia="Times"/>
                <w:noProof/>
                <w:lang w:val="sq-AL"/>
              </w:rPr>
            </w:pPr>
            <w:r>
              <w:rPr>
                <w:rFonts w:eastAsia="Times"/>
                <w:noProof/>
                <w:lang w:val="sq-AL"/>
              </w:rPr>
              <w:t>LUPK</w:t>
            </w:r>
          </w:p>
        </w:tc>
        <w:tc>
          <w:tcPr>
            <w:tcW w:w="6149" w:type="dxa"/>
            <w:noWrap/>
          </w:tcPr>
          <w:p w:rsidR="00E8078C" w:rsidRPr="00221487" w:rsidRDefault="00E8078C" w:rsidP="00221487">
            <w:pPr>
              <w:jc w:val="both"/>
              <w:rPr>
                <w:rFonts w:eastAsia="Times"/>
                <w:noProof/>
                <w:lang w:val="sq-AL"/>
              </w:rPr>
            </w:pPr>
            <w:r w:rsidRPr="00221487">
              <w:rPr>
                <w:noProof/>
                <w:lang w:val="sq-AL"/>
              </w:rPr>
              <w:t xml:space="preserve">Lista e </w:t>
            </w:r>
            <w:r>
              <w:rPr>
                <w:noProof/>
                <w:lang w:val="sq-AL"/>
              </w:rPr>
              <w:t xml:space="preserve">Unifikuar e </w:t>
            </w:r>
            <w:r w:rsidRPr="00221487">
              <w:rPr>
                <w:noProof/>
                <w:lang w:val="sq-AL"/>
              </w:rPr>
              <w:t>Projekteve Kombëtare</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lastRenderedPageBreak/>
              <w:t>LlFShP</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Llogaridhënia Financiare dhe Shpenzimet Publike</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MBS</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Mbështetje për Buxhetin Sektoral</w:t>
            </w:r>
          </w:p>
        </w:tc>
      </w:tr>
      <w:tr w:rsidR="00E8078C" w:rsidRPr="00221487" w:rsidTr="004342D7">
        <w:trPr>
          <w:trHeight w:val="300"/>
        </w:trPr>
        <w:tc>
          <w:tcPr>
            <w:tcW w:w="1170" w:type="dxa"/>
            <w:noWrap/>
          </w:tcPr>
          <w:p w:rsidR="00E8078C" w:rsidRPr="00221487" w:rsidRDefault="00E8078C" w:rsidP="00221487">
            <w:pPr>
              <w:jc w:val="both"/>
              <w:rPr>
                <w:rFonts w:eastAsia="Times"/>
                <w:noProof/>
                <w:lang w:val="sq-AL"/>
              </w:rPr>
            </w:pPr>
            <w:r>
              <w:rPr>
                <w:rFonts w:eastAsia="Times"/>
                <w:noProof/>
                <w:lang w:val="sq-AL"/>
              </w:rPr>
              <w:t>MDH</w:t>
            </w:r>
          </w:p>
        </w:tc>
        <w:tc>
          <w:tcPr>
            <w:tcW w:w="6149" w:type="dxa"/>
            <w:noWrap/>
          </w:tcPr>
          <w:p w:rsidR="00E8078C" w:rsidRPr="00221487" w:rsidRDefault="00E8078C" w:rsidP="00221487">
            <w:pPr>
              <w:jc w:val="both"/>
              <w:rPr>
                <w:rFonts w:eastAsia="Times"/>
                <w:noProof/>
                <w:lang w:val="sq-AL"/>
              </w:rPr>
            </w:pPr>
            <w:r>
              <w:rPr>
                <w:rFonts w:eastAsia="Times"/>
                <w:noProof/>
                <w:lang w:val="sq-AL"/>
              </w:rPr>
              <w:t>Magazina e të Dhënave</w:t>
            </w:r>
          </w:p>
        </w:tc>
      </w:tr>
      <w:tr w:rsidR="00E8078C" w:rsidRPr="005B32A4"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MFE</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 xml:space="preserve">Ministria e Financave dhe Ekonomisë </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MFP</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Menaxhimi Financiar Publik</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MIP</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Menaxhimi i Investimeve Publike</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ML</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 xml:space="preserve">Ministritë e Linjës </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MSFQ</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 xml:space="preserve">Manuali i Statistikave Financiare të Qeverisë </w:t>
            </w:r>
          </w:p>
        </w:tc>
      </w:tr>
      <w:tr w:rsidR="00E8078C" w:rsidRPr="005B32A4"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NPR</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Nisma për Politika të Reja</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NJQH</w:t>
            </w:r>
          </w:p>
        </w:tc>
        <w:tc>
          <w:tcPr>
            <w:tcW w:w="6149" w:type="dxa"/>
            <w:noWrap/>
            <w:hideMark/>
          </w:tcPr>
          <w:p w:rsidR="00E8078C" w:rsidRPr="00221487" w:rsidRDefault="00E8078C" w:rsidP="003769CF">
            <w:pPr>
              <w:jc w:val="both"/>
              <w:rPr>
                <w:rFonts w:eastAsia="Times"/>
                <w:noProof/>
                <w:lang w:val="sq-AL"/>
              </w:rPr>
            </w:pPr>
            <w:r w:rsidRPr="00221487">
              <w:rPr>
                <w:rFonts w:eastAsia="Times"/>
                <w:noProof/>
                <w:lang w:val="sq-AL"/>
              </w:rPr>
              <w:t>Njesia Qendrore e Harmonizimit</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NjQV</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 xml:space="preserve">Njësitë e Qeverisjes Vendore </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NJRF</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Njësia e Riskut Fiskal</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OEA</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 xml:space="preserve">Operator Ekonomik i Autorizuar </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PAB</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 xml:space="preserve">Programi Afatmesëm i Buxhetit </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PBB</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Prodhimi i Brendshëm Bruto</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PDT</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Procedura e Deficitit të Tepërt</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PDZHL</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 xml:space="preserve">Programi për Decentralizim dhe Zhvillim Lokal </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PKIE</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Plani Kombëtar për Integrimin Evropian</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PKSP</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Projekti Kombëtar Strategjik për Projektet</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PPP</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Partneriteti Publik Privat</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PRF</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Pasqyra e Riskut Fiskal</w:t>
            </w:r>
          </w:p>
        </w:tc>
      </w:tr>
      <w:tr w:rsidR="00E8078C" w:rsidRPr="005B32A4"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QEF</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Qendra e Ekselencës në Financë</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QKR</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 xml:space="preserve">Qendra Kombëtare e </w:t>
            </w:r>
            <w:r w:rsidRPr="004342D7">
              <w:rPr>
                <w:rFonts w:eastAsia="Times"/>
                <w:noProof/>
                <w:lang w:val="sq-AL"/>
              </w:rPr>
              <w:t>Regjistrimit</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QSH</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Qeveria e Shqipërisë</w:t>
            </w:r>
          </w:p>
        </w:tc>
      </w:tr>
      <w:tr w:rsidR="00E8078C" w:rsidRPr="005B32A4"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QTADT</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Qendra e Trajnimit të Administratës Doganore dhe Tatimore</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RAP</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 xml:space="preserve">Reforma e Administratës Publike </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ReSPA</w:t>
            </w:r>
          </w:p>
        </w:tc>
        <w:tc>
          <w:tcPr>
            <w:tcW w:w="6149" w:type="dxa"/>
            <w:noWrap/>
            <w:hideMark/>
          </w:tcPr>
          <w:p w:rsidR="00E8078C" w:rsidRPr="00221487" w:rsidRDefault="00E8078C" w:rsidP="00221487">
            <w:pPr>
              <w:jc w:val="both"/>
              <w:rPr>
                <w:rFonts w:eastAsia="Times"/>
                <w:noProof/>
                <w:lang w:val="sq-AL"/>
              </w:rPr>
            </w:pPr>
            <w:r w:rsidRPr="00221487">
              <w:rPr>
                <w:rFonts w:eastAsia="Times"/>
                <w:bCs/>
                <w:noProof/>
                <w:lang w:val="sq-AL"/>
              </w:rPr>
              <w:t>Shkolla Rajonale e Administratës Publike</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RRKN</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Rrjeti Rajonal i Këshillimit për NIC</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SAI</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Institucion Suprem i Auditimit</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SELI</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Sistemi Evropian i Llogarive</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SFQ</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Statistikat Financiare të Qeverisë</w:t>
            </w:r>
          </w:p>
        </w:tc>
      </w:tr>
      <w:tr w:rsidR="00E8078C" w:rsidRPr="005B32A4"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SIDA</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Agjencia Suedeze për Bashkëpunim e Zhvillim Ndërkombëtar</w:t>
            </w:r>
          </w:p>
        </w:tc>
      </w:tr>
      <w:tr w:rsidR="00E8078C" w:rsidRPr="005B32A4"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SIGMA</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Mbështetje për Zhvillimin e Qeverisjes dhe Menaxhimit</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SIIMSP</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 xml:space="preserve">Sistemet Informatike të Integruara të Menaxhimit të Sistemit të Planifikimit  </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SIMBNJ</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Sistemi Informatik i Menaxhimit të Burimeve Njerëzore</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SIMF</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 xml:space="preserve">Sistemi i Integruar i Menaxhimit Financiar </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SIMFQ</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 xml:space="preserve">Sistemi Informatik i Menaxhimit Financiar të Qeverisë </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SIMFSH</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Sistemi Informatik i Menaxhimit Financiar Shqiptar</w:t>
            </w:r>
          </w:p>
        </w:tc>
      </w:tr>
      <w:tr w:rsidR="00E8078C" w:rsidRPr="005B32A4"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SIMNH</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Sistemi Informatik për Menaxhimin e Ndihmës së Huaj</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SIP</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Sistemi i Integruar i Planifikimit</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SKZHI</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Strategjia Kombëtare për Zhvillim dhe Integrim</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SMBAF</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Sistemi i Menaxhimit të Borxhit dhe Analizës Financiare</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SNISA</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 xml:space="preserve">Standardet Ndërkombëtare për Institucionet Supreme të Auditimit </w:t>
            </w:r>
          </w:p>
        </w:tc>
      </w:tr>
      <w:tr w:rsidR="00E8078C" w:rsidRPr="005B32A4"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lastRenderedPageBreak/>
              <w:t>SNKSP</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Standardet Ndërkombëtare të Kontabilitetit në Sektorin Publik</w:t>
            </w:r>
          </w:p>
        </w:tc>
      </w:tr>
      <w:tr w:rsidR="00E8078C" w:rsidRPr="005B32A4" w:rsidTr="004342D7">
        <w:trPr>
          <w:trHeight w:val="300"/>
        </w:trPr>
        <w:tc>
          <w:tcPr>
            <w:tcW w:w="1170" w:type="dxa"/>
            <w:noWrap/>
          </w:tcPr>
          <w:p w:rsidR="00E8078C" w:rsidRPr="00221487" w:rsidRDefault="00E8078C" w:rsidP="00221487">
            <w:pPr>
              <w:jc w:val="both"/>
              <w:rPr>
                <w:rFonts w:eastAsia="Times"/>
                <w:noProof/>
                <w:lang w:val="sq-AL"/>
              </w:rPr>
            </w:pPr>
            <w:r>
              <w:rPr>
                <w:rFonts w:eastAsia="Times"/>
                <w:noProof/>
                <w:lang w:val="sq-AL"/>
              </w:rPr>
              <w:t>SPP</w:t>
            </w:r>
          </w:p>
        </w:tc>
        <w:tc>
          <w:tcPr>
            <w:tcW w:w="6149" w:type="dxa"/>
            <w:noWrap/>
          </w:tcPr>
          <w:p w:rsidR="00E8078C" w:rsidRPr="00221487" w:rsidRDefault="00E8078C" w:rsidP="00221487">
            <w:pPr>
              <w:jc w:val="both"/>
              <w:rPr>
                <w:rFonts w:eastAsia="Times"/>
                <w:noProof/>
                <w:lang w:val="sq-AL"/>
              </w:rPr>
            </w:pPr>
            <w:r w:rsidRPr="00221487">
              <w:rPr>
                <w:noProof/>
                <w:lang w:val="sq-AL"/>
              </w:rPr>
              <w:t>Struktura e Përgatitjes së Projekteve</w:t>
            </w:r>
          </w:p>
        </w:tc>
      </w:tr>
      <w:tr w:rsidR="00E8078C" w:rsidRPr="005B32A4"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SShZÇE</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 xml:space="preserve">Sekretariati Shtetëror Zvicerian për Çështjet Ekonomike </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ShKA</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 xml:space="preserve">Shërbimi i Koordinimit të Antimashtrimit </w:t>
            </w:r>
          </w:p>
        </w:tc>
      </w:tr>
      <w:tr w:rsidR="00E8078C" w:rsidRPr="005B32A4"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USAID</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Agjencia e Shteteve të Bashkuara për Zhvillim Ndërkombëtar</w:t>
            </w:r>
          </w:p>
        </w:tc>
      </w:tr>
      <w:tr w:rsidR="00E8078C" w:rsidRPr="005B32A4"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USPB</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Udhëzimet Standarde për Përgatitjen e Buxhetit</w:t>
            </w:r>
          </w:p>
        </w:tc>
      </w:tr>
      <w:tr w:rsidR="00E8078C" w:rsidRPr="00221487" w:rsidTr="004342D7">
        <w:trPr>
          <w:trHeight w:val="300"/>
        </w:trPr>
        <w:tc>
          <w:tcPr>
            <w:tcW w:w="1170" w:type="dxa"/>
            <w:noWrap/>
            <w:hideMark/>
          </w:tcPr>
          <w:p w:rsidR="00E8078C" w:rsidRPr="00221487" w:rsidRDefault="00E8078C" w:rsidP="00221487">
            <w:pPr>
              <w:jc w:val="both"/>
              <w:rPr>
                <w:rFonts w:eastAsia="Times"/>
                <w:noProof/>
                <w:lang w:val="sq-AL"/>
              </w:rPr>
            </w:pPr>
            <w:r w:rsidRPr="00221487">
              <w:rPr>
                <w:rFonts w:eastAsia="Times"/>
                <w:noProof/>
                <w:lang w:val="sq-AL"/>
              </w:rPr>
              <w:t>ZK</w:t>
            </w:r>
          </w:p>
        </w:tc>
        <w:tc>
          <w:tcPr>
            <w:tcW w:w="6149" w:type="dxa"/>
            <w:noWrap/>
            <w:hideMark/>
          </w:tcPr>
          <w:p w:rsidR="00E8078C" w:rsidRPr="00221487" w:rsidRDefault="00E8078C" w:rsidP="00221487">
            <w:pPr>
              <w:jc w:val="both"/>
              <w:rPr>
                <w:rFonts w:eastAsia="Times"/>
                <w:noProof/>
                <w:lang w:val="sq-AL"/>
              </w:rPr>
            </w:pPr>
            <w:r w:rsidRPr="00221487">
              <w:rPr>
                <w:rFonts w:eastAsia="Times"/>
                <w:noProof/>
                <w:lang w:val="sq-AL"/>
              </w:rPr>
              <w:t xml:space="preserve">Zyra e Kryeministrit </w:t>
            </w:r>
          </w:p>
        </w:tc>
      </w:tr>
    </w:tbl>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fldChar w:fldCharType="end"/>
      </w:r>
    </w:p>
    <w:p w:rsidR="00221487" w:rsidRPr="00221487" w:rsidRDefault="00221487" w:rsidP="00221487">
      <w:pPr>
        <w:spacing w:after="0" w:line="240" w:lineRule="auto"/>
        <w:jc w:val="both"/>
        <w:rPr>
          <w:rFonts w:ascii="Times New Roman" w:eastAsia="Times" w:hAnsi="Times New Roman" w:cs="Times New Roman"/>
          <w:noProof/>
          <w:lang w:val="sq-AL"/>
        </w:rPr>
      </w:pPr>
    </w:p>
    <w:p w:rsidR="00221487" w:rsidRPr="00221487" w:rsidRDefault="00221487" w:rsidP="00221487">
      <w:pPr>
        <w:spacing w:after="0" w:line="240" w:lineRule="auto"/>
        <w:rPr>
          <w:rFonts w:ascii="Times New Roman" w:eastAsia="Times" w:hAnsi="Times New Roman" w:cs="Times New Roman"/>
          <w:b/>
          <w:noProof/>
          <w:lang w:val="sq-AL"/>
        </w:rPr>
      </w:pPr>
      <w:r w:rsidRPr="00221487">
        <w:rPr>
          <w:rFonts w:ascii="Times New Roman" w:eastAsia="Times" w:hAnsi="Times New Roman" w:cs="Times New Roman"/>
          <w:noProof/>
          <w:lang w:val="sq-AL"/>
        </w:rPr>
        <w:br w:type="page"/>
      </w:r>
      <w:bookmarkStart w:id="2" w:name="_Toc511836163"/>
      <w:bookmarkStart w:id="3" w:name="_Toc511836337"/>
      <w:bookmarkStart w:id="4" w:name="_Toc511836390"/>
      <w:bookmarkStart w:id="5" w:name="_Toc511836429"/>
      <w:bookmarkStart w:id="6" w:name="_Toc511836602"/>
      <w:bookmarkStart w:id="7" w:name="_Toc507758730"/>
      <w:bookmarkStart w:id="8" w:name="_Toc507758801"/>
      <w:bookmarkEnd w:id="1"/>
      <w:bookmarkEnd w:id="2"/>
      <w:bookmarkEnd w:id="3"/>
      <w:bookmarkEnd w:id="4"/>
      <w:bookmarkEnd w:id="5"/>
      <w:bookmarkEnd w:id="6"/>
      <w:r w:rsidRPr="00221487">
        <w:rPr>
          <w:rFonts w:ascii="Times New Roman" w:eastAsia="Times" w:hAnsi="Times New Roman" w:cs="Times New Roman"/>
          <w:b/>
          <w:noProof/>
          <w:lang w:val="sq-AL"/>
        </w:rPr>
        <w:lastRenderedPageBreak/>
        <w:t xml:space="preserve">PËRMBLEDHJE EKZEKUTIVE </w:t>
      </w:r>
      <w:bookmarkEnd w:id="7"/>
      <w:bookmarkEnd w:id="8"/>
    </w:p>
    <w:p w:rsidR="00221487" w:rsidRPr="00221487" w:rsidRDefault="00221487" w:rsidP="00221487">
      <w:pPr>
        <w:spacing w:after="0" w:line="240" w:lineRule="auto"/>
        <w:jc w:val="both"/>
        <w:rPr>
          <w:rFonts w:ascii="Times New Roman" w:eastAsia="Times"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w:hAnsi="Times New Roman" w:cs="Times New Roman"/>
          <w:noProof/>
          <w:lang w:val="sq-AL"/>
        </w:rPr>
        <w:t xml:space="preserve">Ky është </w:t>
      </w:r>
      <w:r w:rsidRPr="00221487">
        <w:rPr>
          <w:rFonts w:ascii="Times New Roman" w:eastAsia="Times" w:hAnsi="Times New Roman" w:cs="Times New Roman"/>
          <w:b/>
          <w:noProof/>
          <w:lang w:val="sq-AL"/>
        </w:rPr>
        <w:t xml:space="preserve">Raporti i katërt Vjetor i Monitorimit të Financave Publike </w:t>
      </w:r>
      <w:r w:rsidRPr="00221487">
        <w:rPr>
          <w:rFonts w:ascii="Times New Roman" w:eastAsia="Times" w:hAnsi="Times New Roman" w:cs="Times New Roman"/>
          <w:noProof/>
          <w:lang w:val="sq-AL"/>
        </w:rPr>
        <w:t>për Shqipërinë dhe mbulon periudhën nga 1 janari 2018 deri në 31 dhjetor 2018. Jep informacion të hollësishëm rreth ecurisë së zbatimit të Strategjisë MFP.</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b/>
          <w:noProof/>
          <w:lang w:val="sq-AL"/>
        </w:rPr>
        <w:t>Seksioni hyrës 1</w:t>
      </w:r>
      <w:r w:rsidRPr="00221487">
        <w:rPr>
          <w:rFonts w:ascii="Times New Roman" w:eastAsia="Times New Roman" w:hAnsi="Times New Roman" w:cs="Times New Roman"/>
          <w:noProof/>
          <w:lang w:val="sq-AL"/>
        </w:rPr>
        <w:t xml:space="preserve"> jep një </w:t>
      </w:r>
      <w:r w:rsidRPr="00221487">
        <w:rPr>
          <w:rFonts w:ascii="Times New Roman" w:eastAsia="Times New Roman" w:hAnsi="Times New Roman" w:cs="Times New Roman"/>
          <w:b/>
          <w:noProof/>
          <w:lang w:val="sq-AL"/>
        </w:rPr>
        <w:t>panoramë të ecurisë fiskale</w:t>
      </w:r>
      <w:r w:rsidRPr="00221487">
        <w:rPr>
          <w:rFonts w:ascii="Times New Roman" w:eastAsia="Times New Roman" w:hAnsi="Times New Roman" w:cs="Times New Roman"/>
          <w:noProof/>
          <w:lang w:val="sq-AL"/>
        </w:rPr>
        <w:t xml:space="preserve"> dhe ekonomia ka vijuar të rritet gjatë tre tremujorëve të parë të 2018. Prezantohet një </w:t>
      </w:r>
      <w:r w:rsidRPr="00221487">
        <w:rPr>
          <w:rFonts w:ascii="Times New Roman" w:eastAsia="Times New Roman" w:hAnsi="Times New Roman" w:cs="Times New Roman"/>
          <w:b/>
          <w:noProof/>
          <w:lang w:val="sq-AL"/>
        </w:rPr>
        <w:t>panoramë e rezultateve të treguesve kyç të performancës</w:t>
      </w:r>
      <w:r w:rsidRPr="00221487">
        <w:rPr>
          <w:rFonts w:ascii="Times New Roman" w:eastAsia="Times New Roman" w:hAnsi="Times New Roman" w:cs="Times New Roman"/>
          <w:noProof/>
          <w:lang w:val="sq-AL"/>
        </w:rPr>
        <w:t xml:space="preserve">. Janë përcaktuar 14 tregues të përgjithshëm të MFP, nga të cilët dhjetë janë përmbushur, tre nuk janë përmbushur dhe për një prej tyre nuk disponohen të dhëna, çka paraqet një përmirësim të përgjithshëm në krahasim me shifrat e vitit </w:t>
      </w:r>
      <w:r w:rsidRPr="00221487">
        <w:rPr>
          <w:rFonts w:ascii="Times New Roman" w:eastAsia="Times" w:hAnsi="Times New Roman" w:cs="Times New Roman"/>
          <w:noProof/>
          <w:lang w:val="sq-AL"/>
        </w:rPr>
        <w:t xml:space="preserve">2017 (respektivisht tetë të përmbushura, pesë të papërmbushura dhe një për të cilin nuk disponohen të dhëna). Për tetë nga treguesit nuk kishte të dhëna të disponueshme. Një sërë </w:t>
      </w:r>
      <w:r w:rsidRPr="00221487">
        <w:rPr>
          <w:rFonts w:ascii="Times New Roman" w:eastAsia="Times" w:hAnsi="Times New Roman" w:cs="Times New Roman"/>
          <w:b/>
          <w:noProof/>
          <w:lang w:val="sq-AL"/>
        </w:rPr>
        <w:t>instrumentesh të Strategjisë së MFP</w:t>
      </w:r>
      <w:r w:rsidRPr="00221487">
        <w:rPr>
          <w:rFonts w:ascii="Times New Roman" w:eastAsia="Times" w:hAnsi="Times New Roman" w:cs="Times New Roman"/>
          <w:noProof/>
          <w:lang w:val="sq-AL"/>
        </w:rPr>
        <w:t xml:space="preserve"> në lidhje me ndryshimet legjislative; aktivitete për zhvillim kapacitetesh; Sistemin e Menaxhimit të Integruar Financiar (SMIF); si dhe ndryshime në kulturën e menaxhimit dhe procesit u zhvilluan gjatë vitit 2018. Ky seksion përfshin një listë me </w:t>
      </w:r>
      <w:r w:rsidRPr="00221487">
        <w:rPr>
          <w:rFonts w:ascii="Times New Roman" w:eastAsia="Times" w:hAnsi="Times New Roman" w:cs="Times New Roman"/>
          <w:b/>
          <w:noProof/>
          <w:lang w:val="sq-AL"/>
        </w:rPr>
        <w:t>prioritete kyçe të reformës</w:t>
      </w:r>
      <w:r w:rsidRPr="00221487">
        <w:rPr>
          <w:rFonts w:ascii="Times New Roman" w:eastAsia="Times" w:hAnsi="Times New Roman" w:cs="Times New Roman"/>
          <w:noProof/>
          <w:lang w:val="sq-AL"/>
        </w:rPr>
        <w:t>. Gjatë vititi 2018 u ndërmorr një vlerësim afatmesëm i strategjisë e cila do të çojë në rishikim të prioriteteve dhe masave.</w:t>
      </w: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b/>
          <w:noProof/>
          <w:lang w:val="sq-AL"/>
        </w:rPr>
        <w:t xml:space="preserve">Seksioni 2 </w:t>
      </w:r>
      <w:r w:rsidRPr="00221487">
        <w:rPr>
          <w:rFonts w:ascii="Times New Roman" w:eastAsia="Times New Roman" w:hAnsi="Times New Roman" w:cs="Times New Roman"/>
          <w:noProof/>
          <w:lang w:val="sq-AL"/>
        </w:rPr>
        <w:t xml:space="preserve">i raportit të monitorimit përcakton </w:t>
      </w:r>
      <w:r w:rsidRPr="00221487">
        <w:rPr>
          <w:rFonts w:ascii="Times New Roman" w:eastAsia="Times New Roman" w:hAnsi="Times New Roman" w:cs="Times New Roman"/>
          <w:b/>
          <w:noProof/>
          <w:lang w:val="sq-AL"/>
        </w:rPr>
        <w:t>mbështetjen e donatorëve për sektorin e MFP-së</w:t>
      </w:r>
      <w:r w:rsidRPr="00221487">
        <w:rPr>
          <w:rFonts w:ascii="Times New Roman" w:eastAsia="Times New Roman" w:hAnsi="Times New Roman" w:cs="Times New Roman"/>
          <w:noProof/>
          <w:lang w:val="sq-AL"/>
        </w:rPr>
        <w:t xml:space="preserve">, i cili dominohet nga kreditë e siguruara nga Banka Botërore (BB). Donatorë të tjerë në këtë sektor përfshijnë: Fondin Monetar Ndërkombëtar (FMN), Bashkimin Evropian (BE), Suedinë, Zvicrën dhe USAID-in, të cilët ofrojnë ndihmën e tyre përmes granteve. Gjatë vitit 2018 ka pasur në zbatim 15 projekte të mbështetura nga donatorët dhe shuma prej 8.104 milion euro ishte e planifikuar për projekte të reja (Shtojca 4). Sipas Fondit të Mirëbesimit të Sistemit të Planifikimit të Integruar II, i menaxhuar nga Banka Botërore (BB) dhe aktualisht i financuar nga BE/IPA 2013, Suedia dhe Zvicra kanë financuar komponentë për forcimin e sistemeve të financimit, nëpërmjet Sistemit Informativ të Menaxhimit të Ndihmës së Huaj (SIMNH), Sistemit të Menaxhimit të Informacionit Financiar (SMIF) dhe Sistemit Informatik të Sistemit të Planifikimit të Integruar (SISPI), si dhe për forcimin e kapaciteteve të qeverisë për parashikim makroekonomik dhe përgatitje buxheti. </w:t>
      </w:r>
    </w:p>
    <w:p w:rsidR="00221487" w:rsidRPr="00221487" w:rsidRDefault="00221487" w:rsidP="00221487">
      <w:pPr>
        <w:spacing w:after="0" w:line="240" w:lineRule="auto"/>
        <w:jc w:val="both"/>
        <w:rPr>
          <w:rFonts w:ascii="Times New Roman" w:eastAsia="Times New Roman" w:hAnsi="Times New Roman" w:cs="Times New Roman"/>
          <w:b/>
          <w:noProof/>
          <w:lang w:val="sq-AL"/>
        </w:rPr>
      </w:pPr>
      <w:r w:rsidRPr="00221487">
        <w:rPr>
          <w:rFonts w:ascii="Times New Roman" w:eastAsia="Times New Roman" w:hAnsi="Times New Roman" w:cs="Times New Roman"/>
          <w:noProof/>
          <w:lang w:val="sq-AL"/>
        </w:rPr>
        <w:t xml:space="preserve">Seksioni 2 gjithashtu paraqet gjetjet kyçe të vlerësimeve kryesore të lidhura me MFP-në të ndërmarra nga partnerët e zhvillimit gjatë vitit 2018. </w:t>
      </w:r>
      <w:r w:rsidRPr="00221487">
        <w:rPr>
          <w:rFonts w:ascii="Times New Roman" w:eastAsia="Times New Roman" w:hAnsi="Times New Roman" w:cs="Times New Roman"/>
          <w:b/>
          <w:noProof/>
          <w:lang w:val="sq-AL"/>
        </w:rPr>
        <w:t>Reforma e Administratës Publike (RAP) e</w:t>
      </w:r>
      <w:r w:rsidRPr="00221487">
        <w:rPr>
          <w:rFonts w:ascii="Times New Roman" w:eastAsia="Times New Roman" w:hAnsi="Times New Roman" w:cs="Times New Roman"/>
          <w:noProof/>
          <w:lang w:val="sq-AL"/>
        </w:rPr>
        <w:t xml:space="preserve"> </w:t>
      </w:r>
      <w:r w:rsidRPr="00221487">
        <w:rPr>
          <w:rFonts w:ascii="Times New Roman" w:eastAsia="Times New Roman" w:hAnsi="Times New Roman" w:cs="Times New Roman"/>
          <w:b/>
          <w:noProof/>
          <w:lang w:val="sq-AL"/>
        </w:rPr>
        <w:t>Mbështetjes për Zhvillimin e Qeverisjes dhe Menaxhimit (SIGMA)</w:t>
      </w:r>
      <w:r w:rsidRPr="00221487">
        <w:rPr>
          <w:rFonts w:ascii="Times New Roman" w:eastAsia="Times New Roman" w:hAnsi="Times New Roman" w:cs="Times New Roman"/>
          <w:noProof/>
          <w:lang w:val="sq-AL"/>
        </w:rPr>
        <w:t xml:space="preserve"> ndërmorri Vlerësimin për vitin 2018. U zhvilluan disa takime me koordinatorët përkatës të parimeve të RAP-it me qëllim shpjegimin e procesit të mbledhjes së të dhënave për parimet që po vlerësohen. Në janar të vitit 2019 u mblodhën të dhënat e kërkuara dhe u përgatit  raporti. Raporti përfundimtar do të botohet gjatë muajve të ardhshëm.</w:t>
      </w: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i/>
          <w:noProof/>
          <w:highlight w:val="yellow"/>
          <w:lang w:val="sq-AL"/>
        </w:rPr>
      </w:pPr>
      <w:r w:rsidRPr="00221487">
        <w:rPr>
          <w:rFonts w:ascii="Times New Roman" w:eastAsia="Times New Roman" w:hAnsi="Times New Roman" w:cs="Times New Roman"/>
          <w:b/>
          <w:noProof/>
          <w:lang w:val="sq-AL"/>
        </w:rPr>
        <w:t xml:space="preserve">Seksioni 3 </w:t>
      </w:r>
      <w:r w:rsidRPr="00221487">
        <w:rPr>
          <w:rFonts w:ascii="Times New Roman" w:eastAsia="Times New Roman" w:hAnsi="Times New Roman" w:cs="Times New Roman"/>
          <w:noProof/>
          <w:lang w:val="sq-AL"/>
        </w:rPr>
        <w:t xml:space="preserve">përfshin pjesën kryesore të raportit dhe paraqet ecurinë e secilit prej objektivave të gjashtë Shtyllave, treguesit e përfundimeve dhe masat me disa hollësi. Çdo nën – seksion nis me një përmbledhje të ecurisë për atë Shtyllë: </w:t>
      </w:r>
      <w:r w:rsidRPr="00221487">
        <w:rPr>
          <w:rFonts w:ascii="Times New Roman" w:eastAsia="Times New Roman" w:hAnsi="Times New Roman" w:cs="Times New Roman"/>
          <w:b/>
          <w:noProof/>
          <w:lang w:val="sq-AL"/>
        </w:rPr>
        <w:t>Shtylla 1</w:t>
      </w:r>
      <w:r w:rsidRPr="00221487">
        <w:rPr>
          <w:rFonts w:ascii="Times New Roman" w:eastAsia="Times New Roman" w:hAnsi="Times New Roman" w:cs="Times New Roman"/>
          <w:noProof/>
          <w:lang w:val="sq-AL"/>
        </w:rPr>
        <w:t xml:space="preserve">: </w:t>
      </w:r>
      <w:r w:rsidRPr="00221487">
        <w:rPr>
          <w:rFonts w:ascii="Times New Roman" w:eastAsia="Times New Roman" w:hAnsi="Times New Roman" w:cs="Times New Roman"/>
          <w:b/>
          <w:noProof/>
          <w:lang w:val="sq-AL"/>
        </w:rPr>
        <w:t>Kuadri i qendrueshëm dhe i matur fiskal</w:t>
      </w:r>
      <w:r w:rsidRPr="00221487">
        <w:rPr>
          <w:rFonts w:ascii="Times New Roman" w:eastAsia="Times New Roman" w:hAnsi="Times New Roman" w:cs="Times New Roman"/>
          <w:noProof/>
          <w:lang w:val="sq-AL"/>
        </w:rPr>
        <w:t xml:space="preserve"> përbëhet nga katër objektiva me tregues mbështetës të përfundimeve, ku duket që ka pasur </w:t>
      </w:r>
      <w:r w:rsidRPr="00221487">
        <w:rPr>
          <w:rFonts w:ascii="Times New Roman" w:eastAsia="Times New Roman" w:hAnsi="Times New Roman" w:cs="Times New Roman"/>
          <w:b/>
          <w:noProof/>
          <w:lang w:val="sq-AL"/>
        </w:rPr>
        <w:t>ecuri të kënaqshme</w:t>
      </w:r>
      <w:r w:rsidRPr="00221487">
        <w:rPr>
          <w:rFonts w:ascii="Times New Roman" w:eastAsia="Times New Roman" w:hAnsi="Times New Roman" w:cs="Times New Roman"/>
          <w:noProof/>
          <w:lang w:val="sq-AL"/>
        </w:rPr>
        <w:t xml:space="preserve"> pasi katër janë realizuar. </w:t>
      </w:r>
      <w:r w:rsidRPr="00221487">
        <w:rPr>
          <w:rFonts w:ascii="Times New Roman" w:eastAsia="Times New Roman" w:hAnsi="Times New Roman" w:cs="Times New Roman"/>
          <w:i/>
          <w:noProof/>
          <w:lang w:val="sq-AL"/>
        </w:rPr>
        <w:t>Raporti i borxhit ndaj PBB-së i planifikuar për vitin 2018 është më i ulët se i vitit 2017 dhe deficiti vjetor ishte dukshëm më i ulët se shpenzimet e planifikuara kapitale</w:t>
      </w:r>
      <w:r w:rsidRPr="00221487">
        <w:rPr>
          <w:rFonts w:ascii="Times New Roman" w:eastAsia="Times New Roman" w:hAnsi="Times New Roman" w:cs="Times New Roman"/>
          <w:noProof/>
          <w:lang w:val="sq-AL"/>
        </w:rPr>
        <w:t>. PBB-ja nominale ishte 5.9 miliardë Lek më pak se parashikimi i FMN-së.</w:t>
      </w:r>
      <w:r w:rsidRPr="00221487">
        <w:rPr>
          <w:rFonts w:ascii="Times New Roman" w:eastAsia="Times New Roman" w:hAnsi="Times New Roman" w:cs="Times New Roman"/>
          <w:b/>
          <w:noProof/>
          <w:lang w:val="sq-AL"/>
        </w:rPr>
        <w:t xml:space="preserve"> </w:t>
      </w:r>
      <w:r w:rsidRPr="00221487">
        <w:rPr>
          <w:rFonts w:ascii="Times New Roman" w:eastAsia="Times New Roman" w:hAnsi="Times New Roman" w:cs="Times New Roman"/>
          <w:noProof/>
          <w:lang w:val="sq-AL"/>
        </w:rPr>
        <w:t>Pasi</w:t>
      </w:r>
      <w:r w:rsidRPr="00221487">
        <w:rPr>
          <w:rFonts w:ascii="Times New Roman" w:eastAsia="Times New Roman" w:hAnsi="Times New Roman" w:cs="Times New Roman"/>
          <w:b/>
          <w:noProof/>
          <w:lang w:val="sq-AL"/>
        </w:rPr>
        <w:t xml:space="preserve"> rregullat fiskale </w:t>
      </w:r>
      <w:r w:rsidRPr="00221487">
        <w:rPr>
          <w:rFonts w:ascii="Times New Roman" w:eastAsia="Times New Roman" w:hAnsi="Times New Roman" w:cs="Times New Roman"/>
          <w:noProof/>
          <w:lang w:val="sq-AL"/>
        </w:rPr>
        <w:t xml:space="preserve">u futën në LOB, janë bërë më shumë përpjekje për t’i zbatuar këto rregulla dhe parime. Që nga viti 2017, raporti vjetor i zbatimit të buxhetit të konsoliduar vjetor që botohet çdo vit nga MFE në qershor, përfshin një seksion të dedikuar për monitorimin e rregullave fiskalë.Treguesi që mat përpilimin e </w:t>
      </w:r>
      <w:r w:rsidRPr="00221487">
        <w:rPr>
          <w:rFonts w:ascii="Times New Roman" w:eastAsia="Times New Roman" w:hAnsi="Times New Roman" w:cs="Times New Roman"/>
          <w:b/>
          <w:i/>
          <w:noProof/>
          <w:lang w:val="sq-AL"/>
        </w:rPr>
        <w:t>Llogarive Kombëtare të Qeverisë</w:t>
      </w:r>
      <w:r w:rsidRPr="00221487">
        <w:rPr>
          <w:rFonts w:ascii="Times New Roman" w:eastAsia="Times New Roman" w:hAnsi="Times New Roman" w:cs="Times New Roman"/>
          <w:noProof/>
          <w:lang w:val="sq-AL"/>
        </w:rPr>
        <w:t xml:space="preserve"> sipas Sistemit Evropian të Llogarive (ESA) 2010, është përmirësuar në krahasim me vitin 2017. Në vitin 2018, 80 përqind e kategorive të riskut u mbuluan nga </w:t>
      </w:r>
      <w:r w:rsidRPr="00221487">
        <w:rPr>
          <w:rFonts w:ascii="Times New Roman" w:eastAsia="Times New Roman" w:hAnsi="Times New Roman" w:cs="Times New Roman"/>
          <w:b/>
          <w:noProof/>
          <w:lang w:val="sq-AL"/>
        </w:rPr>
        <w:t>Risku Financiar</w:t>
      </w:r>
      <w:r w:rsidRPr="00221487">
        <w:rPr>
          <w:rFonts w:ascii="Times New Roman" w:eastAsia="Times New Roman" w:hAnsi="Times New Roman" w:cs="Times New Roman"/>
          <w:noProof/>
          <w:lang w:val="sq-AL"/>
        </w:rPr>
        <w:t xml:space="preserve"> (RF). Në nivel mase, kjo Shtyllë përbëhet nga pesë masa, nga të cilat një është përfunduar dhe katër janë në proces. Gjatë periudhës 2015-2018, Drejtoria Makroekonomike ka përfituar programin e AT nëpërmjet financimit zviceran (SSHZÇE) për përmirësimin e aftësive parashikuese dhe forcimin e hartimit të politikave të bazuar në prova. Programi përfundoi në tremujorin e tretë të vitit 2018. Një listë e përditësuar me klasifikimin e njësive institucionale (NjI)</w:t>
      </w:r>
      <w:r w:rsidRPr="00221487">
        <w:rPr>
          <w:rFonts w:ascii="Times New Roman" w:eastAsia="Times New Roman" w:hAnsi="Times New Roman" w:cs="Times New Roman"/>
          <w:i/>
          <w:noProof/>
          <w:lang w:val="sq-AL"/>
        </w:rPr>
        <w:t xml:space="preserve"> </w:t>
      </w:r>
      <w:r w:rsidRPr="00221487">
        <w:rPr>
          <w:rFonts w:ascii="Times New Roman" w:eastAsia="Times New Roman" w:hAnsi="Times New Roman" w:cs="Times New Roman"/>
          <w:noProof/>
          <w:lang w:val="sq-AL"/>
        </w:rPr>
        <w:t>u botua në faqen e internetit të</w:t>
      </w:r>
      <w:r w:rsidRPr="00221487">
        <w:rPr>
          <w:rFonts w:ascii="Times New Roman" w:eastAsia="Times New Roman" w:hAnsi="Times New Roman" w:cs="Times New Roman"/>
          <w:i/>
          <w:noProof/>
          <w:lang w:val="sq-AL"/>
        </w:rPr>
        <w:t xml:space="preserve"> </w:t>
      </w:r>
      <w:r w:rsidRPr="00221487">
        <w:rPr>
          <w:rFonts w:ascii="Times New Roman" w:eastAsia="Times" w:hAnsi="Times New Roman" w:cs="Times New Roman"/>
          <w:noProof/>
          <w:lang w:val="sq-AL"/>
        </w:rPr>
        <w:t>Institutit të Statistikave</w:t>
      </w:r>
      <w:r w:rsidRPr="00221487">
        <w:rPr>
          <w:rFonts w:ascii="Times New Roman" w:eastAsia="Times New Roman" w:hAnsi="Times New Roman" w:cs="Times New Roman"/>
          <w:noProof/>
          <w:lang w:val="sq-AL"/>
        </w:rPr>
        <w:t xml:space="preserve"> (INSTAT) në shtator 2018 për të siguruar transparencë për përdoruesit. Për herë të parë në vitin 2018 </w:t>
      </w:r>
      <w:r w:rsidRPr="00221487">
        <w:rPr>
          <w:rFonts w:ascii="Times New Roman" w:eastAsia="Times New Roman" w:hAnsi="Times New Roman" w:cs="Times New Roman"/>
          <w:bCs/>
          <w:noProof/>
          <w:lang w:val="sq-AL"/>
        </w:rPr>
        <w:t xml:space="preserve">INSTAT-i hartoi dhe transmetoi pasqyrën eksperimentale 11 (Shpenzime </w:t>
      </w:r>
      <w:r w:rsidR="000F2F95">
        <w:rPr>
          <w:rFonts w:ascii="Times New Roman" w:eastAsia="Times New Roman" w:hAnsi="Times New Roman" w:cs="Times New Roman"/>
          <w:bCs/>
          <w:noProof/>
          <w:lang w:val="sq-AL"/>
        </w:rPr>
        <w:t>qeveritare</w:t>
      </w:r>
      <w:r w:rsidRPr="00221487">
        <w:rPr>
          <w:rFonts w:ascii="Times New Roman" w:eastAsia="Times New Roman" w:hAnsi="Times New Roman" w:cs="Times New Roman"/>
          <w:bCs/>
          <w:noProof/>
          <w:lang w:val="sq-AL"/>
        </w:rPr>
        <w:t xml:space="preserve"> sipas funksioneve) për vitin 2017. Deri në dhjetor 20180, </w:t>
      </w:r>
      <w:r w:rsidRPr="00221487">
        <w:rPr>
          <w:rFonts w:ascii="Times New Roman" w:eastAsia="Times New Roman" w:hAnsi="Times New Roman" w:cs="Times New Roman"/>
          <w:bCs/>
          <w:noProof/>
          <w:lang w:val="sq-AL"/>
        </w:rPr>
        <w:lastRenderedPageBreak/>
        <w:t>EUROSTAT-it i ishin dërguar 4 nga 8 pasqyrat e Statistikave Financiare Qeveritare (SFQ). Gjatë vitit</w:t>
      </w:r>
      <w:r w:rsidRPr="00221487">
        <w:rPr>
          <w:rFonts w:ascii="Times New Roman" w:eastAsia="Times" w:hAnsi="Times New Roman" w:cs="Times New Roman"/>
          <w:noProof/>
          <w:lang w:val="sq-AL"/>
        </w:rPr>
        <w:t xml:space="preserve"> 2018, MFE konsolidoi informacionin analitik dhe relacionin në lidhje me matricën e risqeve të mëdha, duke u përqendruar veçanërisht tek risqet që lidhen me treguesit makro,  KSH-të, Partneritetet Publike Private (PPP-të), pagesat e reja të prapambetura dhe vendimet gjqësore. U përfundua si një raport i vetëm dhe u miratua nga Këshilli i Ministrave</w:t>
      </w:r>
      <w:r w:rsidRPr="00221487">
        <w:rPr>
          <w:rFonts w:ascii="Times New Roman" w:eastAsia="Times New Roman" w:hAnsi="Times New Roman" w:cs="Times New Roman"/>
          <w:noProof/>
          <w:lang w:val="sq-AL"/>
        </w:rPr>
        <w:t xml:space="preserve"> </w:t>
      </w:r>
      <w:r w:rsidRPr="00221487">
        <w:rPr>
          <w:rFonts w:ascii="Times New Roman" w:eastAsia="Times" w:hAnsi="Times New Roman" w:cs="Times New Roman"/>
          <w:noProof/>
          <w:lang w:val="sq-AL"/>
        </w:rPr>
        <w:t xml:space="preserve">Pasqyra e Risqeve Financiarë. </w:t>
      </w:r>
    </w:p>
    <w:p w:rsidR="00221487" w:rsidRPr="00221487" w:rsidRDefault="00221487" w:rsidP="00221487">
      <w:pPr>
        <w:spacing w:after="0" w:line="240" w:lineRule="auto"/>
        <w:jc w:val="both"/>
        <w:rPr>
          <w:rFonts w:ascii="Times New Roman" w:eastAsia="Times New Roman" w:hAnsi="Times New Roman" w:cs="Times New Roman"/>
          <w:noProof/>
          <w:highlight w:val="yellow"/>
          <w:lang w:val="sq-AL"/>
        </w:rPr>
      </w:pPr>
    </w:p>
    <w:p w:rsidR="00221487" w:rsidRPr="00221487" w:rsidRDefault="00221487" w:rsidP="00221487">
      <w:pPr>
        <w:spacing w:after="0" w:line="240" w:lineRule="auto"/>
        <w:jc w:val="both"/>
        <w:rPr>
          <w:rFonts w:ascii="Times New Roman" w:eastAsia="Times New Roman" w:hAnsi="Times New Roman" w:cs="Times New Roman"/>
          <w:noProof/>
          <w:highlight w:val="yellow"/>
          <w:lang w:val="sq-AL"/>
        </w:rPr>
      </w:pPr>
      <w:r w:rsidRPr="00221487">
        <w:rPr>
          <w:rFonts w:ascii="Times New Roman" w:eastAsia="Times New Roman" w:hAnsi="Times New Roman" w:cs="Times New Roman"/>
          <w:b/>
          <w:noProof/>
          <w:lang w:val="sq-AL"/>
        </w:rPr>
        <w:t xml:space="preserve">Shtylla 2: Planifikimi dhe buxheti i mirë – integruar dhe efikas i shpenzimit publik </w:t>
      </w:r>
      <w:r w:rsidRPr="00221487">
        <w:rPr>
          <w:rFonts w:ascii="Times New Roman" w:eastAsia="Times New Roman" w:hAnsi="Times New Roman" w:cs="Times New Roman"/>
          <w:noProof/>
          <w:lang w:val="sq-AL"/>
        </w:rPr>
        <w:t xml:space="preserve">përbëhet nga pesë objektiva, të cilat tregojnë </w:t>
      </w:r>
      <w:r w:rsidRPr="00221487">
        <w:rPr>
          <w:rFonts w:ascii="Times New Roman" w:eastAsia="Times New Roman" w:hAnsi="Times New Roman" w:cs="Times New Roman"/>
          <w:b/>
          <w:noProof/>
          <w:lang w:val="sq-AL"/>
        </w:rPr>
        <w:t>ecuri të përzier</w:t>
      </w:r>
      <w:r w:rsidRPr="00221487">
        <w:rPr>
          <w:rFonts w:ascii="Times New Roman" w:eastAsia="Times New Roman" w:hAnsi="Times New Roman" w:cs="Times New Roman"/>
          <w:noProof/>
          <w:lang w:val="sq-AL"/>
        </w:rPr>
        <w:t xml:space="preserve">, pasi dy nga objektivat janë përmbushur dhe pr tre pjesërisht nuk ka të dhëna të disponueshme. </w:t>
      </w:r>
      <w:r w:rsidRPr="00221487">
        <w:rPr>
          <w:rFonts w:ascii="Times New Roman" w:eastAsia="Times New Roman" w:hAnsi="Times New Roman" w:cs="Times New Roman"/>
          <w:i/>
          <w:noProof/>
          <w:lang w:val="sq-AL"/>
        </w:rPr>
        <w:t>Raporti ndërmjet shumës së fondeve i vlerësuar në strategjitë sektoriale dhe shumë së financimit së evidentuar për sektorët korrespondues brenda PBA-së nuk është i disponueshëm, ndërsa raporti i SIGMAs nuk është botuar ende</w:t>
      </w:r>
      <w:r w:rsidRPr="00221487">
        <w:rPr>
          <w:rFonts w:ascii="Times New Roman" w:eastAsia="Times New Roman" w:hAnsi="Times New Roman" w:cs="Times New Roman"/>
          <w:noProof/>
          <w:lang w:val="sq-AL"/>
        </w:rPr>
        <w:t xml:space="preserve">. 64 përqind e projekteve të investimit të përfshira në PBA dhe 80 përqind e projekteve të propozuara ishin bazuar në prioritetet strategjike. Treguesi që trajton </w:t>
      </w:r>
      <w:r w:rsidRPr="00221487">
        <w:rPr>
          <w:rFonts w:ascii="Times New Roman" w:eastAsia="Times New Roman" w:hAnsi="Times New Roman" w:cs="Times New Roman"/>
          <w:i/>
          <w:noProof/>
          <w:lang w:val="sq-AL"/>
        </w:rPr>
        <w:t xml:space="preserve">Disbursimet aktuale për projekte të mëdha investimi krahasuar me disbursimet e planifikuara, së bashku me shpjegimin e ndryshimeve </w:t>
      </w:r>
      <w:r w:rsidRPr="00221487">
        <w:rPr>
          <w:rFonts w:ascii="Times New Roman" w:eastAsia="Times New Roman" w:hAnsi="Times New Roman" w:cs="Times New Roman"/>
          <w:noProof/>
          <w:lang w:val="sq-AL"/>
        </w:rPr>
        <w:t xml:space="preserve">është përmbushur, duke arritur 97 përqind. Vazhdoi të kishte mdryshim ndërmjet totalit të </w:t>
      </w:r>
      <w:r w:rsidRPr="00221487">
        <w:rPr>
          <w:rFonts w:ascii="Times New Roman" w:eastAsia="Times New Roman" w:hAnsi="Times New Roman" w:cs="Times New Roman"/>
          <w:b/>
          <w:noProof/>
          <w:lang w:val="sq-AL"/>
        </w:rPr>
        <w:t>shpenzimeve të planifikuara</w:t>
      </w:r>
      <w:r w:rsidRPr="00221487">
        <w:rPr>
          <w:rFonts w:ascii="Times New Roman" w:eastAsia="Times New Roman" w:hAnsi="Times New Roman" w:cs="Times New Roman"/>
          <w:noProof/>
          <w:lang w:val="sq-AL"/>
        </w:rPr>
        <w:t>, të futur për herë të parë në PBA krahasuar me totalin e shpenzimeve të planifikuara në Buxhetin Vjetor për vitin 2018.</w:t>
      </w:r>
      <w:r w:rsidRPr="00221487">
        <w:rPr>
          <w:rFonts w:ascii="Times New Roman" w:eastAsia="Times New Roman" w:hAnsi="Times New Roman" w:cs="Times New Roman"/>
          <w:b/>
          <w:noProof/>
          <w:lang w:val="sq-AL"/>
        </w:rPr>
        <w:t xml:space="preserve"> </w:t>
      </w:r>
      <w:r w:rsidRPr="00221487">
        <w:rPr>
          <w:rFonts w:ascii="Times New Roman" w:eastAsia="Times New Roman" w:hAnsi="Times New Roman" w:cs="Times New Roman"/>
          <w:noProof/>
          <w:lang w:val="sq-AL"/>
        </w:rPr>
        <w:t xml:space="preserve">Treguesi që trajton </w:t>
      </w:r>
      <w:r w:rsidRPr="00221487">
        <w:rPr>
          <w:rFonts w:ascii="Times New Roman" w:eastAsia="Times New Roman" w:hAnsi="Times New Roman" w:cs="Times New Roman"/>
          <w:i/>
          <w:noProof/>
          <w:lang w:val="sq-AL"/>
        </w:rPr>
        <w:t>shumën e caktuar për projekte shumë – vjeçare për secilin vit që kalon buxhetet e miratuara për ato projekte është i barabartë me zero,</w:t>
      </w:r>
      <w:r w:rsidRPr="00221487">
        <w:rPr>
          <w:rFonts w:ascii="Times New Roman" w:eastAsia="Times New Roman" w:hAnsi="Times New Roman" w:cs="Times New Roman"/>
          <w:noProof/>
          <w:lang w:val="sq-AL"/>
        </w:rPr>
        <w:t xml:space="preserve"> është përmbushur pasi hendeku u zvogëlua nga 682 në 448 milionë Lek dhe së dyti </w:t>
      </w:r>
      <w:r w:rsidRPr="00221487">
        <w:rPr>
          <w:rFonts w:ascii="Times New Roman" w:eastAsia="Times New Roman" w:hAnsi="Times New Roman" w:cs="Times New Roman"/>
          <w:i/>
          <w:noProof/>
          <w:lang w:val="sq-AL"/>
        </w:rPr>
        <w:t>Për gjithë  BI-të online, gjithë projektet e mëdha të para – planifikuara në sistem në bazë të planeve</w:t>
      </w:r>
      <w:r w:rsidRPr="00221487">
        <w:rPr>
          <w:rFonts w:ascii="Times New Roman" w:eastAsia="Times New Roman" w:hAnsi="Times New Roman" w:cs="Times New Roman"/>
          <w:noProof/>
          <w:lang w:val="sq-AL"/>
        </w:rPr>
        <w:t xml:space="preserve"> </w:t>
      </w:r>
      <w:r w:rsidRPr="00221487">
        <w:rPr>
          <w:rFonts w:ascii="Times New Roman" w:eastAsia="Times New Roman" w:hAnsi="Times New Roman" w:cs="Times New Roman"/>
          <w:i/>
          <w:noProof/>
          <w:lang w:val="sq-AL"/>
        </w:rPr>
        <w:t>të llogaritura të disbursimit që janë miratuar gjatë procesit të buxhetit, përpara nisjes së veprimeve të prokurimit</w:t>
      </w:r>
      <w:r w:rsidRPr="00221487">
        <w:rPr>
          <w:rFonts w:ascii="Times New Roman" w:eastAsia="Times New Roman" w:hAnsi="Times New Roman" w:cs="Times New Roman"/>
          <w:noProof/>
          <w:lang w:val="sq-AL"/>
        </w:rPr>
        <w:t xml:space="preserve"> nuk ishte i disponueshMLm pasi sistemet Sistemi Informativ për Financat e Qeverisë Shqiptare (SIFQ) dhe ai i APP-së nuk janë ende të integruar për të siguruar se fondet janë të para – planifikuara në Sistemin e Thesarit përpara se të nisë procesi i prokurimit dhe treguesi i rezutateve 3 “Nuk regjistrohen pagesa të prapambetura në masat shumëvjeçare të projekteve të investimeve kapitale pas 3 vitesh” </w:t>
      </w:r>
      <w:r w:rsidRPr="00221487">
        <w:rPr>
          <w:rFonts w:ascii="Times New Roman" w:eastAsia="Times New Roman" w:hAnsi="Times New Roman" w:cs="Times New Roman"/>
          <w:b/>
          <w:noProof/>
          <w:lang w:val="sq-AL"/>
        </w:rPr>
        <w:t>nuk mund të matej</w:t>
      </w:r>
      <w:r w:rsidRPr="00221487">
        <w:rPr>
          <w:rFonts w:ascii="Times New Roman" w:eastAsia="Times New Roman" w:hAnsi="Times New Roman" w:cs="Times New Roman"/>
          <w:noProof/>
          <w:lang w:val="sq-AL"/>
        </w:rPr>
        <w:t xml:space="preserve"> pasi efekti i zbatimittë kontrollit të angazhimit shumëvjeçar tek SIFQ-ja do të bëhet i dukshëm në vitin 2019. Në lidhje me Qeverisjen Vendore, ka pasur përmirësim në </w:t>
      </w:r>
      <w:r w:rsidRPr="00221487">
        <w:rPr>
          <w:rFonts w:ascii="Times New Roman" w:eastAsia="Times New Roman" w:hAnsi="Times New Roman" w:cs="Times New Roman"/>
          <w:i/>
          <w:noProof/>
          <w:lang w:val="sq-AL"/>
        </w:rPr>
        <w:t>mbledhjen dhe administrimin e taksave nga bashkitë</w:t>
      </w:r>
      <w:r w:rsidRPr="00221487">
        <w:rPr>
          <w:rFonts w:ascii="Times New Roman" w:eastAsia="Times New Roman" w:hAnsi="Times New Roman" w:cs="Times New Roman"/>
          <w:noProof/>
          <w:lang w:val="sq-AL"/>
        </w:rPr>
        <w:t xml:space="preserve"> dhe ka pasur një rritje të </w:t>
      </w:r>
      <w:r w:rsidRPr="00221487">
        <w:rPr>
          <w:rFonts w:ascii="Times New Roman" w:eastAsia="Times New Roman" w:hAnsi="Times New Roman" w:cs="Times New Roman"/>
          <w:i/>
          <w:noProof/>
          <w:lang w:val="sq-AL"/>
        </w:rPr>
        <w:t>pjesës së shpenzimeve të investimeve në buxhetet vendore, krahasuar me shpenzimet</w:t>
      </w:r>
      <w:r w:rsidRPr="00221487">
        <w:rPr>
          <w:rFonts w:ascii="Times New Roman" w:eastAsia="Times New Roman" w:hAnsi="Times New Roman" w:cs="Times New Roman"/>
          <w:noProof/>
          <w:lang w:val="sq-AL"/>
        </w:rPr>
        <w:t>.</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Në nivel masash, kjo Shtyllë përbëhet nga 15 masa, nga të cilat tre janë përfunduar dhe 12 të tjera janë në zbatim. </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Është miratuar Strategjia Kombëtare për Energjinë 2015 – 2030, duke e rritur numrin e dokumenteve të miratuara në 27, në krahasim me numrin total që është 30 dokumente pjesë e SKZHI II.  Mekanizmi i Qasjes së Mbarë Sektorit, i cili synon të sigurojë koordinim, programim dhe monitorim përgjatë sektorëve, është riparë në bazë të Urdhrit të KM nr. 157, datë 22.10.2018 “Mbi zbatimin e qasjes sektoriale për (të gjithë) sektorët dhe ngritjen dhe funksionimin e mekanizmit të integruar (ndër) sektorial.” Gjatë vitit 2018 janë përgatitur dymbëdhjetë raporte të monitorimit të strategjisë (shtatë raporte monitorimi u përgatitën në vitin 2017). Njësia e Riskut Financiar (NJRF) ka tregues kryesorë financiarë të monitorimit tremujor të NSH-ve dhe ka përgatitur një raport monitorimi të konsoliduar të KSH-ve, </w:t>
      </w:r>
      <w:r w:rsidRPr="00221487">
        <w:rPr>
          <w:rFonts w:ascii="Times New Roman" w:eastAsia="Times" w:hAnsi="Times New Roman" w:cs="Times New Roman"/>
          <w:noProof/>
          <w:lang w:val="sq-AL"/>
        </w:rPr>
        <w:t>duke u përqëndruar në risqet që vijnë nga sektori i energjisë. Po ashtu, një analizë përmbledhëse u shpalos në Pasqyrën Vjetore të Riskut Fiskal. Një udhëzim i ri p;r Përgatitjen Standarde të Buxhetit u miratua në shkurt të vitit 2018. Ishte kryer testimi i zbatimit të kodit të prodhimit në SIFQ. Gjithashtu, është kryer dhe migrimi i të dhënave në prodhimin PBA për PBA 2019-2021 në modulin e ri PBA-së në SIFQ. MFE-ja rishikoi marrëveshjet dhe praktikat aktuale për vlerësimet dhe përgatiti udhëzime dhe kritere që do të përdoren për vlerësimin teknik të projekteve të mëdha të MFE-së. Vendimi "Për Procedurat e Menaxhimit të Investimeve Publike" u miratua nga Këshilli i Ministrave në Mars 2018 (VKM nr.185).</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Projektet strategjike, pjesë e PKSP, bazuar në vendimin KPS/KKI, hapësirën fiskale dhe përparësinë e tyre, futen çdo vit në ciklin e buxhetimit afatmesëm bazuar në procedurën e specifikuar në VKM nr. 185. Deri në fund të vitit 2018, Sekretariati i Përgjithshëm i Këshillit Kombëtar të Investimeve (KKI) ka përfunduar PKSP 2018. Në lidhje me Qeverinë Lokale, janë miratuar Mjeti i Ri i Planifikimit Financiar dhe Manuali i Mjetit të Planifikimit Financiar. Mjeti i Planifikimit Financiar (MPF) solli formate të reja për përgatitjen dhe raportimin e PBA për QV dhe të gjitha njësitë vendore e kanë përdorur atë për përgatitjen e buxhetit 2019. Për më tepër, u miratuan dy udhëzime të reja për monitorimin e buxhetit të NJQV-ve dhe përgatitjen e PBA-së me qëllimin e sigurimit të unifikimit të raporteve dhe procedurave për të gjitha NjQV-të në periudhën afatmesme.</w:t>
      </w:r>
      <w:r w:rsidRPr="00221487">
        <w:rPr>
          <w:rFonts w:ascii="Times New Roman" w:hAnsi="Times New Roman" w:cs="Times New Roman"/>
          <w:noProof/>
          <w:lang w:val="sq-AL"/>
        </w:rPr>
        <w:t xml:space="preserve">. </w:t>
      </w:r>
    </w:p>
    <w:p w:rsidR="00221487" w:rsidRPr="00221487" w:rsidRDefault="00221487" w:rsidP="00221487">
      <w:pPr>
        <w:spacing w:after="0" w:line="240" w:lineRule="auto"/>
        <w:jc w:val="both"/>
        <w:rPr>
          <w:rFonts w:ascii="Times New Roman" w:eastAsia="Times New Roman" w:hAnsi="Times New Roman" w:cs="Times New Roman"/>
          <w:noProof/>
          <w:highlight w:val="yellow"/>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b/>
          <w:noProof/>
          <w:lang w:val="sq-AL"/>
        </w:rPr>
        <w:lastRenderedPageBreak/>
        <w:t xml:space="preserve">Shtylla 3: Ekzekutimi efikas i buxhetit. </w:t>
      </w:r>
      <w:r w:rsidRPr="00221487">
        <w:rPr>
          <w:rFonts w:ascii="Times New Roman" w:eastAsia="Times New Roman" w:hAnsi="Times New Roman" w:cs="Times New Roman"/>
          <w:noProof/>
          <w:lang w:val="sq-AL"/>
        </w:rPr>
        <w:t xml:space="preserve">Shtylla 3 përmban dhjetë objektiva dhe ka pasur </w:t>
      </w:r>
      <w:r w:rsidRPr="00221487">
        <w:rPr>
          <w:rFonts w:ascii="Times New Roman" w:eastAsia="Times New Roman" w:hAnsi="Times New Roman" w:cs="Times New Roman"/>
          <w:b/>
          <w:noProof/>
          <w:lang w:val="sq-AL"/>
        </w:rPr>
        <w:t>ecuri shumë të mirë</w:t>
      </w:r>
      <w:r w:rsidRPr="00221487">
        <w:rPr>
          <w:rFonts w:ascii="Times New Roman" w:eastAsia="Times New Roman" w:hAnsi="Times New Roman" w:cs="Times New Roman"/>
          <w:noProof/>
          <w:lang w:val="sq-AL"/>
        </w:rPr>
        <w:t xml:space="preserve">, pavarësisht se është e ngarkuar brenda kuadrit të një shtylle të pamanovrueshme. </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Sipas treguesve të rezultateve, janë përmbushur katër objektiva, dy nuk janë përmbushur, dy janë përmbushur pjesërisht dhe dy nuk mund të mateshin. Ka dy objektiva që mbulojnë tatimet dhe një tregues rezultatesh për to është përmbushur, një tregues është përmbushur pjesërisht dhe një nuk është përmbushur. </w:t>
      </w:r>
      <w:r w:rsidRPr="00221487">
        <w:rPr>
          <w:rFonts w:ascii="Times New Roman" w:eastAsia="Times New Roman" w:hAnsi="Times New Roman" w:cs="Times New Roman"/>
          <w:i/>
          <w:noProof/>
          <w:lang w:val="sq-AL"/>
        </w:rPr>
        <w:t>Baza e tatimit</w:t>
      </w:r>
      <w:r w:rsidRPr="00221487">
        <w:rPr>
          <w:rFonts w:ascii="Times New Roman" w:eastAsia="Times New Roman" w:hAnsi="Times New Roman" w:cs="Times New Roman"/>
          <w:noProof/>
          <w:lang w:val="sq-AL"/>
        </w:rPr>
        <w:t xml:space="preserve"> është rritur në 29 përqind për punonjësit dhe në 16 përqind për bizneset në vitin 2018 dhe </w:t>
      </w:r>
      <w:r w:rsidRPr="00221487">
        <w:rPr>
          <w:rFonts w:ascii="Times New Roman" w:eastAsia="Times New Roman" w:hAnsi="Times New Roman" w:cs="Times New Roman"/>
          <w:i/>
          <w:noProof/>
          <w:lang w:val="sq-AL"/>
        </w:rPr>
        <w:t xml:space="preserve">Raporti i Efikasitetit të Tatimeve </w:t>
      </w:r>
      <w:r w:rsidRPr="00221487">
        <w:rPr>
          <w:rFonts w:ascii="Times New Roman" w:eastAsia="Times New Roman" w:hAnsi="Times New Roman" w:cs="Times New Roman"/>
          <w:noProof/>
          <w:lang w:val="sq-AL"/>
        </w:rPr>
        <w:t xml:space="preserve">është rritur më shumë se sa pritej. Përsa i përket </w:t>
      </w:r>
      <w:r w:rsidRPr="00221487">
        <w:rPr>
          <w:rFonts w:ascii="Times New Roman" w:eastAsia="Times New Roman" w:hAnsi="Times New Roman" w:cs="Times New Roman"/>
          <w:i/>
          <w:noProof/>
          <w:lang w:val="sq-AL"/>
        </w:rPr>
        <w:t>rimbursimit të TVSH-së</w:t>
      </w:r>
      <w:r w:rsidRPr="00221487">
        <w:rPr>
          <w:rFonts w:ascii="Times New Roman" w:eastAsia="Times New Roman" w:hAnsi="Times New Roman" w:cs="Times New Roman"/>
          <w:noProof/>
          <w:lang w:val="sq-AL"/>
        </w:rPr>
        <w:t xml:space="preserve">, rastet e shqyrtuara në krahasim me kërkesat e përgjithshme për rimbursim janë rritur më shumë se në vitin 2017, duke arritur nivelin 84%. </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Efikasiteti i mbledhjes së detyrimeve doganore është përkeqësuar, pasi devijimi i mbledhjes aktuale të detyrimeve doganore për vitin 2018 ishte (-) 3.8%.</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Një prirje në rënie u arrit në përqindjen e rasteve kur organi shqyrtues tejkalon kohën maksimale ligjore të përpunimit. Menaxhimi i borxhit përfshin dy objektiva: "Analiza e qëndrueshmërisë së borxhit, si dhe menaxhimi i borxhit dhe strategjitë e qëndrueshmërisë së borxhit në bazë të tij përgatiten çdo vit". Treguesi i parë i rezultatit është përmbushur pasi raporti midis stokut të borxhit të brendshëm që rivendos normën e interesit brenda një viti mbi totalin e mbetjeve të papaguara të borxhit të brendshëm është zvogëluar, në lidhje me treguesin e dytë, megjithëse ditët e maturimit për borxhin e brendshëm u rritën nga 780 ditë në 2017 në 783 ditë në 2018, vlera e synuar e vitit 2018 nuk u përmbush; Përqindja e çështjeve të shqyrtuara nga Komisioni i Prokurimit Publik brenda afatit ligjor ështe ulur në 49 përqind. </w:t>
      </w:r>
      <w:r w:rsidRPr="00221487">
        <w:rPr>
          <w:rFonts w:ascii="Times New Roman" w:eastAsia="Times New Roman" w:hAnsi="Times New Roman" w:cs="Times New Roman"/>
          <w:b/>
          <w:noProof/>
          <w:lang w:val="sq-AL"/>
        </w:rPr>
        <w:t>Pasuritë publike</w:t>
      </w:r>
      <w:r w:rsidRPr="00221487">
        <w:rPr>
          <w:rFonts w:ascii="Times New Roman" w:eastAsia="Times New Roman" w:hAnsi="Times New Roman" w:cs="Times New Roman"/>
          <w:noProof/>
          <w:lang w:val="sq-AL"/>
        </w:rPr>
        <w:t xml:space="preserve"> të gjashtë Institucioneve Buxhetore (IB) regjistrohen në SIFQSH.</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Në nivelin e aktivitetit, kjo Shtyllë përbëhet nga 24 veprime, nga të cilat gjashtë janë përfunduar dhe 18 janë në në proces. Është miratuar dhe zbatuar një Plan për Sezonin Turistik për monitorimin e aktiviteteve të turizmit dhe përputhshmërinë e menaxhimit të riskut për vitin 2018, i përqendruar në ndërgjegjësimin e publikut. Një projekt i Agjencisë Suedeze për Bashkëpunim e Zhvillim Ndërkombëtar (SIDA) për ngritjen e sistemit të kadastrës fiskale në të gjitha bashkitë (61) është në vazhdim. Është ngritur një drejtori e përgjithshme për Tatimin mbi Pronën si dhe është rishikuar dhe përfunduar kuadri ligjor në lidhje me ligjin e ri për tatimin mbi pronën. Gjatë vitit 2018 u kryen dy fushata ndërgjegjësimi: fushatë ndërgjegjësimi për entet e biznesit që u përfshinë në skemën e TVSH-s[ si dhe fushata ndërgjegjësimi për entet që operojnë në fushën e turizmit. </w:t>
      </w:r>
      <w:r w:rsidRPr="00221487">
        <w:rPr>
          <w:rFonts w:ascii="Times New Roman" w:eastAsia="Times" w:hAnsi="Times New Roman" w:cs="Times New Roman"/>
          <w:noProof/>
          <w:lang w:val="sq-AL"/>
        </w:rPr>
        <w:t xml:space="preserve"> </w:t>
      </w:r>
      <w:r w:rsidRPr="00221487">
        <w:rPr>
          <w:rFonts w:ascii="Times New Roman" w:eastAsia="Times New Roman" w:hAnsi="Times New Roman" w:cs="Times New Roman"/>
          <w:noProof/>
          <w:lang w:val="sq-AL"/>
        </w:rPr>
        <w:t xml:space="preserve">Drejtoria e Përgjithshme e Tatimeve (DPT) ka kërkuar ndryshime të kuadrit ligjor për përmirësimin e punës për proceset e menaxhimit të borxhit. </w:t>
      </w:r>
      <w:r w:rsidRPr="00221487">
        <w:rPr>
          <w:rFonts w:ascii="Times New Roman" w:eastAsia="Times" w:hAnsi="Times New Roman" w:cs="Times New Roman"/>
          <w:noProof/>
          <w:lang w:val="sq-AL"/>
        </w:rPr>
        <w:t xml:space="preserve">Disa nga propozimet janë shqyrtuar dhe kanë hyrë në fuqi me paketën e re fiskale të datës </w:t>
      </w:r>
      <w:r w:rsidRPr="00221487">
        <w:rPr>
          <w:rFonts w:ascii="Times New Roman" w:eastAsia="Times New Roman" w:hAnsi="Times New Roman" w:cs="Times New Roman"/>
          <w:noProof/>
          <w:lang w:val="sq-AL"/>
        </w:rPr>
        <w:t>01.01.2019. Me kalimin e kohës, janë riparë Raportet për Borxhin dhe nga sistemi janë kërkuar ndryshime në lidhje me pasaktësitë që janë evidentuar. Sipas rekomandimeve të FMN-së, gjatë viteve 2017 dhe 2018 është zbatuar një Plan Veprimi dy-vjeçar mbi Menaxhimin e Borxhit.</w:t>
      </w:r>
    </w:p>
    <w:p w:rsidR="00221487" w:rsidRPr="00221487" w:rsidRDefault="00221487" w:rsidP="00221487">
      <w:pPr>
        <w:spacing w:after="0" w:line="240" w:lineRule="auto"/>
        <w:jc w:val="both"/>
        <w:rPr>
          <w:rFonts w:ascii="Times New Roman" w:eastAsia="Times New Roman" w:hAnsi="Times New Roman" w:cs="Times New Roman"/>
          <w:noProof/>
          <w:lang w:val="sq-AL" w:eastAsia="en-GB"/>
        </w:rPr>
      </w:pPr>
      <w:r w:rsidRPr="00221487">
        <w:rPr>
          <w:rFonts w:ascii="Times New Roman" w:eastAsia="Times New Roman" w:hAnsi="Times New Roman" w:cs="Times New Roman"/>
          <w:noProof/>
          <w:lang w:val="sq-AL"/>
        </w:rPr>
        <w:t xml:space="preserve">Në </w:t>
      </w:r>
      <w:r w:rsidRPr="00221487">
        <w:rPr>
          <w:rFonts w:ascii="Times New Roman" w:eastAsia="Times New Roman" w:hAnsi="Times New Roman" w:cs="Times New Roman"/>
          <w:i/>
          <w:noProof/>
          <w:lang w:val="sq-AL"/>
        </w:rPr>
        <w:t>fushën doganore</w:t>
      </w:r>
      <w:r w:rsidRPr="00221487">
        <w:rPr>
          <w:rFonts w:ascii="Times New Roman" w:eastAsia="Times New Roman" w:hAnsi="Times New Roman" w:cs="Times New Roman"/>
          <w:noProof/>
          <w:lang w:val="sq-AL"/>
        </w:rPr>
        <w:t xml:space="preserve">, manifestet e kontenierëve, manifestet ajrore dhe manifestet e postës ekspres po merren në mënyrë elektronike. Janë duke u shqyrtuar dy kërkesa për Operatorë të Autorizuar Ekonomikë. Vlersimi i deklaratave doganore po bëhet nëpërmjet një sistemi qendror. Ky sistem i zbatuar gjatë vitit 2018 </w:t>
      </w:r>
      <w:r w:rsidRPr="00221487">
        <w:rPr>
          <w:rFonts w:ascii="Times New Roman" w:eastAsia="Times New Roman" w:hAnsi="Times New Roman" w:cs="Times New Roman"/>
          <w:noProof/>
          <w:color w:val="000000"/>
          <w:lang w:val="sq-AL"/>
        </w:rPr>
        <w:t xml:space="preserve">ka pasur ndikim të drejtpërdrejtë tek shkëputja e kontaktit të oficerëve të vlerësimit me entet. </w:t>
      </w:r>
      <w:r w:rsidRPr="00221487">
        <w:rPr>
          <w:rFonts w:ascii="Times New Roman" w:eastAsia="Times New Roman" w:hAnsi="Times New Roman" w:cs="Times New Roman"/>
          <w:noProof/>
          <w:lang w:val="sq-AL"/>
        </w:rPr>
        <w:t xml:space="preserve">Gjatë vitit 2018, 7.27% e numrit të përgjithshëm të deklaratave (SAD) është zgjedhur në Blue Channel. Ndërkohë, deklaratat në Kanalin e Gjelbër u rritën, duke shtrirë bazën e kësaj kategorie nga 5.58% (2017) në 8.60% (2018) të totalit. Ky rikonfigurim ka sjellë rezultatet e para në zvogëlimin e kohës së përpunimit të deklaratave doganore. Sipas të dhënave statistikore, deklaratat e përpunuara brenda 30 minutave janë rritur nga 26% në 2017 në 37% në 2018. Strukturat përgjegjëse për administrimin e komunikimit me përdoruesit fundorë janë krijuar të gjitha për Drejtorinë e Përgjithshme dhe Degët Doganore. Lidhur me zbatimin në Administratën Doganore të Shqipërisë të Sistemit të Integruar të Menaxhimit të Tarifave plotësisht në përputhje me projektin e BE, ITMS, gjatë takimit të 7-të të Komitetit Drejtues, të mbajtur në 11 Dhjetor 2018, mundësia për të kërkuar një zgjatje pa kosto prej tre muajsh për projektin  ishte diskutuar dhe rënë dakord midis partnerëve të Projektit të Binjakëzimit dhe BE-së, në mënyrë që të ndërmerreshin disa aktivitete shtesë të kërkuara nga Drejtoria e Përgjithshme e Doganave (DPD). Bazuar në reformën e administratës publike të vitit 2017, për shkak të kostos financiare për licensat e përdorimit për aksesin tek SIFQ dhe vendet e paplotësuara me personel funksional të SIFQ-së, nisja e NJB në </w:t>
      </w:r>
      <w:r w:rsidRPr="00221487">
        <w:rPr>
          <w:rFonts w:ascii="Times New Roman" w:eastAsia="Times New Roman" w:hAnsi="Times New Roman" w:cs="Times New Roman"/>
          <w:b/>
          <w:noProof/>
          <w:lang w:val="sq-AL"/>
        </w:rPr>
        <w:t>SIFQ</w:t>
      </w:r>
      <w:r w:rsidRPr="00221487">
        <w:rPr>
          <w:rFonts w:ascii="Times New Roman" w:eastAsia="Times New Roman" w:hAnsi="Times New Roman" w:cs="Times New Roman"/>
          <w:noProof/>
          <w:lang w:val="sq-AL"/>
        </w:rPr>
        <w:t xml:space="preserve">  kërkohet të shtyhet për në vitin 2020, çka e redukton numrin e përgjithshëm të NJB nga 150 në 60, pasi numri i NJB është reduktuar dhe buxheti është përqendruar në më pak NJB. Në tetor 2018 Republika e Shqipërisë, përfaqësuar nga </w:t>
      </w:r>
      <w:r w:rsidRPr="00221487">
        <w:rPr>
          <w:rFonts w:ascii="Times New Roman" w:eastAsia="Times New Roman" w:hAnsi="Times New Roman" w:cs="Times New Roman"/>
          <w:noProof/>
          <w:lang w:val="sq-AL"/>
        </w:rPr>
        <w:lastRenderedPageBreak/>
        <w:t xml:space="preserve">Ministria e Financave dhe Ekonomisë, nxorri me sukses </w:t>
      </w:r>
      <w:r w:rsidRPr="00221487">
        <w:rPr>
          <w:rFonts w:ascii="Times New Roman" w:eastAsia="Times New Roman" w:hAnsi="Times New Roman" w:cs="Times New Roman"/>
          <w:b/>
          <w:noProof/>
          <w:lang w:val="sq-AL"/>
        </w:rPr>
        <w:t>Eurobondin</w:t>
      </w:r>
      <w:r w:rsidRPr="00221487">
        <w:rPr>
          <w:rFonts w:ascii="Times New Roman" w:eastAsia="Times New Roman" w:hAnsi="Times New Roman" w:cs="Times New Roman"/>
          <w:noProof/>
          <w:lang w:val="sq-AL"/>
        </w:rPr>
        <w:t xml:space="preserve"> e ri 7-vjeçar 500 milionësh me me një kupon prej 3.5%, dhe gjithashtu përfundoi blerjen e 200 milion Euro të Eurobondit të saj ekzistues. Transaksioni Eurobond synon: a) të menaxhojë nevojat e likuiditetit; b) të zvogëlojë rrezikun e rifinancimit; c) të mbajë nën kontroll kostot që mund të materializohen në afat të mesëm si rezultat i rritjes së normave të interesit në tregjet ndërkombëtare përtej pritshmërive; si dhe d) të ulë presionin në tregun e brendshëm. LOBigacioni i ri u lëshua në një format 144a / RegS, duke mundësuar pjesëmarrjen e investitorëve amerikanë </w:t>
      </w:r>
      <w:r w:rsidRPr="00221487">
        <w:rPr>
          <w:rFonts w:ascii="Times New Roman" w:eastAsia="Times New Roman" w:hAnsi="Times New Roman" w:cs="Times New Roman"/>
          <w:i/>
          <w:noProof/>
          <w:lang w:val="sq-AL"/>
        </w:rPr>
        <w:t>onshore</w:t>
      </w:r>
      <w:r w:rsidRPr="00221487">
        <w:rPr>
          <w:rFonts w:ascii="Times New Roman" w:eastAsia="Times New Roman" w:hAnsi="Times New Roman" w:cs="Times New Roman"/>
          <w:noProof/>
          <w:lang w:val="sq-AL"/>
        </w:rPr>
        <w:t xml:space="preserve"> në këtë çështje dhe duke kontribuar në një zgjerim të bazës së investitorëve në Shqipëri. Republika e Shqipërisë zgjodhi tre banka të mëdha si Drejtues të Përbashkët të Përbashkët: Citi Bank, IMI Bank dhe Societe General Bank e Rothchild &amp; Co, të cilat vepruan si këshilues të pavarur të Republikës së Shqipërisë. U zgjodhën Kryetari dhe anëtarët e Komisionit të </w:t>
      </w:r>
      <w:r w:rsidRPr="00221487">
        <w:rPr>
          <w:rFonts w:ascii="Times New Roman" w:eastAsia="Times New Roman" w:hAnsi="Times New Roman" w:cs="Times New Roman"/>
          <w:b/>
          <w:noProof/>
          <w:lang w:val="sq-AL"/>
        </w:rPr>
        <w:t>Prokurimti Publik</w:t>
      </w:r>
      <w:r w:rsidRPr="00221487">
        <w:rPr>
          <w:rFonts w:ascii="Times New Roman" w:eastAsia="Times New Roman" w:hAnsi="Times New Roman" w:cs="Times New Roman"/>
          <w:noProof/>
          <w:lang w:val="sq-AL"/>
        </w:rPr>
        <w:t>. Komisioni i ri, i cili tashmë është i pavarur, ka nisur të funksionojë zyrtarisht në</w:t>
      </w:r>
      <w:r w:rsidRPr="00221487">
        <w:rPr>
          <w:rFonts w:ascii="Times New Roman" w:eastAsia="Times New Roman" w:hAnsi="Times New Roman" w:cs="Times New Roman"/>
          <w:noProof/>
          <w:color w:val="000000"/>
          <w:lang w:val="sq-AL"/>
        </w:rPr>
        <w:t xml:space="preserve"> 16 korrik 2018. </w:t>
      </w:r>
      <w:r w:rsidRPr="00221487">
        <w:rPr>
          <w:rFonts w:ascii="Times New Roman" w:hAnsi="Times New Roman" w:cs="Times New Roman"/>
          <w:noProof/>
          <w:lang w:val="sq-AL"/>
        </w:rPr>
        <w:t>Në funksion të përmirësimit të legjislacionit të prokurimit dhe përafrimit me direktivat e reja të BE-së, si dhe në funksion të transpozimit të direktivës 2009/81 për prokurimet në fushën e mbrojtjes dhe të sigurisë dhe hartimin e një ligji për këtë qëllim, janë krijuar grupe pune ndërinstitucionale, përkatësisht në bazë të Urdhrit të Kryeministrit nr. 129, datë 29.08.2018 dhe të Urdhrit të Kryeministrit nr. 128, datë 29.08.2018. Gjatë vitit 2018, u iniciua projekti i Bankës Botërore për zbatimin e IPSAS-ve, pjesë e të cilit është komponenti i administrimit të pasurive.</w:t>
      </w:r>
    </w:p>
    <w:p w:rsidR="00221487" w:rsidRPr="00221487" w:rsidRDefault="00221487" w:rsidP="00221487">
      <w:pPr>
        <w:spacing w:after="0" w:line="240" w:lineRule="auto"/>
        <w:jc w:val="both"/>
        <w:rPr>
          <w:rFonts w:ascii="Times New Roman" w:hAnsi="Times New Roman" w:cs="Times New Roman"/>
          <w:noProof/>
          <w:lang w:val="sq-AL"/>
        </w:rPr>
      </w:pPr>
    </w:p>
    <w:p w:rsidR="00221487" w:rsidRPr="00221487" w:rsidRDefault="00221487" w:rsidP="00221487">
      <w:pPr>
        <w:spacing w:after="0"/>
        <w:jc w:val="both"/>
        <w:rPr>
          <w:rFonts w:ascii="Times New Roman" w:eastAsia="Times New Roman" w:hAnsi="Times New Roman" w:cs="Times New Roman"/>
          <w:bCs/>
          <w:noProof/>
          <w:lang w:val="sq-AL"/>
        </w:rPr>
      </w:pPr>
      <w:r w:rsidRPr="00221487">
        <w:rPr>
          <w:rFonts w:ascii="Times New Roman" w:eastAsia="Times New Roman" w:hAnsi="Times New Roman" w:cs="Times New Roman"/>
          <w:b/>
          <w:noProof/>
          <w:lang w:val="sq-AL"/>
        </w:rPr>
        <w:t xml:space="preserve">Shtylla 4: Raportimi transparent i qeverisë </w:t>
      </w:r>
      <w:r w:rsidRPr="00221487">
        <w:rPr>
          <w:rFonts w:ascii="Times New Roman" w:eastAsia="Times New Roman" w:hAnsi="Times New Roman" w:cs="Times New Roman"/>
          <w:noProof/>
          <w:lang w:val="sq-AL"/>
        </w:rPr>
        <w:t xml:space="preserve">ka vetëm një objektiv: të sigurojë përputhshmëri raportimi dhe kontabiliteti me Standardet Ndërkombëtare të Kontabilitetit të Sektorit Publik (SNKSP)  </w:t>
      </w:r>
      <w:r w:rsidRPr="00221487">
        <w:rPr>
          <w:rFonts w:ascii="Times New Roman" w:eastAsia="Times New Roman" w:hAnsi="Times New Roman" w:cs="Times New Roman"/>
          <w:i/>
          <w:noProof/>
          <w:lang w:val="sq-AL"/>
        </w:rPr>
        <w:t>nëpërmjet rritjes së kapaciteteve profesionale dhe infrastrukturës së TI</w:t>
      </w:r>
      <w:r w:rsidRPr="00221487">
        <w:rPr>
          <w:rFonts w:ascii="Times New Roman" w:eastAsia="Times New Roman" w:hAnsi="Times New Roman" w:cs="Times New Roman"/>
          <w:noProof/>
          <w:lang w:val="sq-AL"/>
        </w:rPr>
        <w:t>. Duke pasur parasysh fushën e gjerë e në rritje të axhendës së transparencës, ky objektiv ka një fokus veçanërisht të ngushtë. Në nivel aktivitetesh, kjo shtyllë përbëhet nga pesë masa, nga të cilat katër janë në realizim e sipër dhe njëri ende nuk ka nisur</w:t>
      </w:r>
      <w:r w:rsidRPr="00221487">
        <w:rPr>
          <w:rFonts w:ascii="Times New Roman" w:eastAsia="Times New Roman" w:hAnsi="Times New Roman" w:cs="Times New Roman"/>
          <w:b/>
          <w:noProof/>
          <w:lang w:val="sq-AL"/>
        </w:rPr>
        <w:t xml:space="preserve">. </w:t>
      </w:r>
      <w:r w:rsidRPr="00221487">
        <w:rPr>
          <w:rFonts w:ascii="Times New Roman" w:eastAsia="Times New Roman" w:hAnsi="Times New Roman" w:cs="Times New Roman"/>
          <w:noProof/>
          <w:lang w:val="sq-AL"/>
        </w:rPr>
        <w:t xml:space="preserve">Këto masa bazohen në ecurinë e shtyllave të tjera, si p.sh.: Shtyllës 1 në lidhje me raportet e SFQ.  Me qëllim arritjen e këtij objektivi, janë bërë përmirësime në lidhje me dy treguesit e rezultateve. Në këtë kontekst: </w:t>
      </w:r>
      <w:r w:rsidRPr="00221487">
        <w:rPr>
          <w:rFonts w:ascii="Times New Roman" w:eastAsia="Times" w:hAnsi="Times New Roman" w:cs="Times New Roman"/>
          <w:b/>
          <w:noProof/>
          <w:lang w:val="sq-AL"/>
        </w:rPr>
        <w:t>a)</w:t>
      </w:r>
      <w:r w:rsidRPr="00221487">
        <w:rPr>
          <w:rFonts w:ascii="Times New Roman" w:eastAsia="Times" w:hAnsi="Times New Roman" w:cs="Times New Roman"/>
          <w:noProof/>
          <w:lang w:val="sq-AL"/>
        </w:rPr>
        <w:t xml:space="preserve"> Projekti SSHZÇE i financuar nga zvicranët </w:t>
      </w:r>
      <w:r w:rsidRPr="00221487">
        <w:rPr>
          <w:rFonts w:ascii="Times New Roman" w:eastAsia="Times New Roman" w:hAnsi="Times New Roman" w:cs="Times New Roman"/>
          <w:noProof/>
          <w:lang w:val="sq-AL"/>
        </w:rPr>
        <w:t xml:space="preserve">“Zhvillimi i Kontabilitetit të Sektorit Publik Development”, i zbatuar nga Banka Botërore, ka nisur në datën </w:t>
      </w:r>
      <w:r w:rsidRPr="00221487">
        <w:rPr>
          <w:rFonts w:ascii="Times New Roman" w:eastAsia="Times" w:hAnsi="Times New Roman" w:cs="Times New Roman"/>
          <w:noProof/>
          <w:lang w:val="sq-AL"/>
        </w:rPr>
        <w:t xml:space="preserve">17.05.2018; </w:t>
      </w:r>
      <w:r w:rsidRPr="00221487">
        <w:rPr>
          <w:rFonts w:ascii="Times New Roman" w:eastAsia="Times" w:hAnsi="Times New Roman" w:cs="Times New Roman"/>
          <w:b/>
          <w:noProof/>
          <w:lang w:val="sq-AL"/>
        </w:rPr>
        <w:t>b)</w:t>
      </w:r>
      <w:r w:rsidRPr="00221487">
        <w:rPr>
          <w:rFonts w:ascii="Times New Roman" w:eastAsia="Times New Roman" w:hAnsi="Times New Roman" w:cs="Times New Roman"/>
          <w:noProof/>
          <w:lang w:val="sq-AL"/>
        </w:rPr>
        <w:t xml:space="preserve"> Aplikacioni Boost është i disponueshëm në faqen e internetit të MFE-së, që prej prillit të vitit 2018; </w:t>
      </w:r>
      <w:r w:rsidRPr="00221487">
        <w:rPr>
          <w:rFonts w:ascii="Times New Roman" w:eastAsia="Times New Roman" w:hAnsi="Times New Roman" w:cs="Times New Roman"/>
          <w:b/>
          <w:noProof/>
          <w:lang w:val="sq-AL"/>
        </w:rPr>
        <w:t>c)</w:t>
      </w:r>
      <w:r w:rsidRPr="00221487">
        <w:rPr>
          <w:rFonts w:ascii="Times New Roman" w:eastAsia="Times New Roman" w:hAnsi="Times New Roman" w:cs="Times New Roman"/>
          <w:noProof/>
          <w:lang w:val="sq-AL"/>
        </w:rPr>
        <w:t xml:space="preserve"> Portali i finncave lokale vazhdn të botojë të dhëna mbi financat lokale dhe përditësohet me të dhëna mbi shpenzimet dhe të ardhurat deri në tremujorin e katërt të vitit 2018 për njësitë individuale të qeverisjes vendore individualisht dhe posaçërisht;  </w:t>
      </w:r>
      <w:r w:rsidRPr="00221487">
        <w:rPr>
          <w:rFonts w:ascii="Times New Roman" w:eastAsia="Times New Roman" w:hAnsi="Times New Roman" w:cs="Times New Roman"/>
          <w:b/>
          <w:noProof/>
          <w:lang w:val="sq-AL"/>
        </w:rPr>
        <w:t>d)</w:t>
      </w:r>
      <w:r w:rsidRPr="00221487">
        <w:rPr>
          <w:rFonts w:ascii="Times New Roman" w:eastAsia="Times New Roman" w:hAnsi="Times New Roman" w:cs="Times New Roman"/>
          <w:noProof/>
          <w:color w:val="000000"/>
          <w:sz w:val="24"/>
          <w:szCs w:val="24"/>
          <w:lang w:val="sq-AL"/>
        </w:rPr>
        <w:t xml:space="preserve"> Gjatë vitit 2018, INSTAT-i  ka përpiluar dhe transmetuar pasqyrën eksperimentale 11 (Shpenzimet e Qeverisë sipas funksionit) për vitin </w:t>
      </w:r>
      <w:r w:rsidRPr="00221487">
        <w:rPr>
          <w:rFonts w:ascii="Times New Roman" w:eastAsia="Times New Roman" w:hAnsi="Times New Roman" w:cs="Times New Roman"/>
          <w:bCs/>
          <w:noProof/>
          <w:color w:val="000000"/>
          <w:sz w:val="24"/>
          <w:szCs w:val="24"/>
          <w:lang w:val="sq-AL"/>
        </w:rPr>
        <w:t xml:space="preserve">2017 dhe deri në dhjetor të vitit 2018, 4 nga 8 SFQ pasqyrat i janë dërguar EUROSTAT-it; </w:t>
      </w:r>
      <w:r w:rsidRPr="00221487">
        <w:rPr>
          <w:rFonts w:ascii="Times New Roman" w:eastAsia="Times New Roman" w:hAnsi="Times New Roman" w:cs="Times New Roman"/>
          <w:b/>
          <w:bCs/>
          <w:noProof/>
          <w:color w:val="000000"/>
          <w:sz w:val="24"/>
          <w:szCs w:val="24"/>
          <w:lang w:val="sq-AL"/>
        </w:rPr>
        <w:t>e)</w:t>
      </w:r>
      <w:r w:rsidRPr="00221487">
        <w:rPr>
          <w:rFonts w:ascii="Times New Roman" w:eastAsia="Times New Roman" w:hAnsi="Times New Roman" w:cs="Times New Roman"/>
          <w:noProof/>
          <w:lang w:val="sq-AL"/>
        </w:rPr>
        <w:t xml:space="preserve"> Është bërë punë e konsiderueshme për përgatitjen dhe prodhimin e udhëzuesve dhe akteve nënligjore për përmirësimin dhe unifikimin e formateve të raportimit për ekzekutimin e buxheteve të NJQV-ve, të cilat u miratuan nga Ministri i Financës dhe Ekonomisë në vitin 2018; </w:t>
      </w:r>
      <w:r w:rsidRPr="00221487">
        <w:rPr>
          <w:rFonts w:ascii="Times New Roman" w:eastAsia="Times New Roman" w:hAnsi="Times New Roman" w:cs="Times New Roman"/>
          <w:b/>
          <w:noProof/>
          <w:lang w:val="sq-AL"/>
        </w:rPr>
        <w:t>f)</w:t>
      </w:r>
      <w:r w:rsidRPr="00221487">
        <w:rPr>
          <w:rFonts w:ascii="Times New Roman" w:eastAsia="Times New Roman" w:hAnsi="Times New Roman" w:cs="Times New Roman"/>
          <w:b/>
          <w:bCs/>
          <w:noProof/>
          <w:lang w:val="sq-AL" w:eastAsia="nl-NL"/>
        </w:rPr>
        <w:t xml:space="preserve"> </w:t>
      </w:r>
      <w:r w:rsidRPr="00221487">
        <w:rPr>
          <w:rFonts w:ascii="Times New Roman" w:eastAsia="Times New Roman" w:hAnsi="Times New Roman" w:cs="Times New Roman"/>
          <w:bCs/>
          <w:noProof/>
          <w:lang w:val="sq-AL" w:eastAsia="nl-NL"/>
        </w:rPr>
        <w:t xml:space="preserve">Raporti i ekzekutimit të buxhetit për vitin 2017 është përgatitur nga MFE-ja që në maj 2018 dhe është miratuar nga Kuvendi në korrik të vitit 2018. Versioni aktual i raportit është i zgjeruar dhe i përmirësuar në krahasim me vitet e kaluara; </w:t>
      </w:r>
      <w:r w:rsidRPr="00221487">
        <w:rPr>
          <w:rFonts w:ascii="Times New Roman" w:eastAsia="Times New Roman" w:hAnsi="Times New Roman" w:cs="Times New Roman"/>
          <w:b/>
          <w:bCs/>
          <w:noProof/>
          <w:lang w:val="sq-AL" w:eastAsia="nl-NL"/>
        </w:rPr>
        <w:t>g)</w:t>
      </w:r>
      <w:r w:rsidRPr="00221487">
        <w:rPr>
          <w:rFonts w:ascii="Times New Roman" w:eastAsia="Times New Roman" w:hAnsi="Times New Roman" w:cs="Times New Roman"/>
          <w:bCs/>
          <w:noProof/>
          <w:lang w:val="sq-AL" w:eastAsia="nl-NL"/>
        </w:rPr>
        <w:t xml:space="preserve"> Disa akte ligjore/nënligjore të miratuara për fushën e kontabilitetit dhe raportimit financiar </w:t>
      </w:r>
      <w:r w:rsidRPr="00221487">
        <w:rPr>
          <w:rFonts w:ascii="Times New Roman" w:eastAsia="Times New Roman" w:hAnsi="Times New Roman" w:cs="Times New Roman"/>
          <w:bCs/>
          <w:noProof/>
          <w:lang w:val="sq-AL"/>
        </w:rPr>
        <w:t xml:space="preserve">janë: </w:t>
      </w:r>
      <w:r w:rsidRPr="00221487">
        <w:rPr>
          <w:rFonts w:ascii="Times New Roman" w:eastAsia="Times New Roman" w:hAnsi="Times New Roman" w:cs="Times New Roman"/>
          <w:noProof/>
          <w:lang w:val="sq-AL" w:eastAsia="en-GB"/>
        </w:rPr>
        <w:t>Ligji 25/2018 "Mbi kontabilitetin dhe pasqyrat financiare";</w:t>
      </w:r>
      <w:r w:rsidRPr="00221487">
        <w:rPr>
          <w:rFonts w:ascii="Times New Roman" w:eastAsia="Times New Roman" w:hAnsi="Times New Roman" w:cs="Times New Roman"/>
          <w:bCs/>
          <w:noProof/>
          <w:lang w:val="sq-AL"/>
        </w:rPr>
        <w:t xml:space="preserve"> Udhëzuesi nr. </w:t>
      </w:r>
      <w:r w:rsidRPr="00221487">
        <w:rPr>
          <w:rFonts w:ascii="Times New Roman" w:eastAsia="Times New Roman" w:hAnsi="Times New Roman" w:cs="Times New Roman"/>
          <w:noProof/>
          <w:lang w:val="sq-AL" w:eastAsia="en-GB"/>
        </w:rPr>
        <w:t xml:space="preserve">39, datë 24.12.2018 "Mbi procedurën e mbylljes së llogarive vjetore të buxhetit për vitin 2018";Udhëzuesi nr. </w:t>
      </w:r>
      <w:r w:rsidRPr="00221487">
        <w:rPr>
          <w:rFonts w:ascii="Times New Roman" w:eastAsia="Times New Roman" w:hAnsi="Times New Roman" w:cs="Times New Roman"/>
          <w:noProof/>
          <w:lang w:val="sq-AL"/>
        </w:rPr>
        <w:t>8, datë 09.03.2018 "</w:t>
      </w:r>
      <w:r w:rsidRPr="00221487">
        <w:rPr>
          <w:rFonts w:ascii="Times New Roman" w:eastAsia="Times New Roman" w:hAnsi="Times New Roman" w:cs="Times New Roman"/>
          <w:i/>
          <w:noProof/>
          <w:lang w:val="sq-AL"/>
        </w:rPr>
        <w:t>Mbi procedurat për përgatitjen, prezantimin dhe raportimin e pasqyrave vjetore financiare në Njësitë e Qeverisjes së Përgjithshme".</w:t>
      </w: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b/>
          <w:noProof/>
          <w:lang w:val="sq-AL"/>
        </w:rPr>
        <w:t xml:space="preserve">Shtylla 5: Kontrolli i brendshëm efikas </w:t>
      </w:r>
      <w:r w:rsidRPr="00221487">
        <w:rPr>
          <w:rFonts w:ascii="Times New Roman" w:eastAsia="Times New Roman" w:hAnsi="Times New Roman" w:cs="Times New Roman"/>
          <w:noProof/>
          <w:lang w:val="sq-AL"/>
        </w:rPr>
        <w:t>përmban dy objektiva nga të cilët njëri është arritur dhe tjetri është arritur pjesërisht për shkak se nuk ka informacion të disponueshëm deri në datën e raportimit. Ka një tendencë në ulje të përdorimit të instrumenteve të Kontrollit të Menaxhimit Financiar (KMF) në sektorin publik. Në nivel aktivitetesh, shtylla përbëhet nga tetë masa, nga të cilat pesë janë përfunduar dhe tre janë në proces. Janë nxjerë udhëzues e manuale dhe është miratuar Raporti Vjetor i KBFP 2017</w:t>
      </w:r>
      <w:r w:rsidRPr="00221487">
        <w:rPr>
          <w:rFonts w:ascii="Times New Roman" w:eastAsia="Times New Roman" w:hAnsi="Times New Roman" w:cs="Times New Roman"/>
          <w:b/>
          <w:noProof/>
          <w:lang w:val="sq-AL"/>
        </w:rPr>
        <w:t>. P</w:t>
      </w:r>
      <w:r w:rsidRPr="00221487">
        <w:rPr>
          <w:rFonts w:ascii="Times New Roman" w:eastAsia="Times New Roman" w:hAnsi="Times New Roman" w:cs="Times New Roman"/>
          <w:noProof/>
          <w:lang w:val="sq-AL"/>
        </w:rPr>
        <w:t xml:space="preserve">ër herë të parë në vitin 2018, është kryer një analizë e hollësishme performance për institucionet e pavarura dhe institucionet e varësisë së Zyrës së Kryeministrit si dhe u krye një vlerësim i sistemeve të kontrollit të brendshëm në bazë të performancës së këtyre </w:t>
      </w:r>
      <w:r w:rsidRPr="00221487">
        <w:rPr>
          <w:rFonts w:ascii="Times New Roman" w:eastAsia="Times New Roman" w:hAnsi="Times New Roman" w:cs="Times New Roman"/>
          <w:noProof/>
          <w:lang w:val="sq-AL"/>
        </w:rPr>
        <w:lastRenderedPageBreak/>
        <w:t>institucioneve. U prodhuan dy udhëzues: “Mbi procedurat standarde të ekzekutimit të buxhetit” dhe “Mbi procedurat e ekzekutimit të buxhetit për Njësitë e Qeverisjes së Përgjithshme duke përdorur Sistemin Informativ Financiar të Qeverisë”. Nisi zbatimi i sistemit KMF në katër institucione (në Ministrinë e Brendshme, Ministrinë për Infrastrukturën dhe Energjinë, Bashkinë e Vlorës dhe Autoritetin Shqiptar Rrugor (ARRSH). Janë zhvilluar disa takime / trajnime me institucione të caktuara me qëllim përgatitjen e instrumenteve të nevojshëm për zbatimin e MFK-së, siç janë rregulloret dhe procedurat e brendshme, regjistrat e rrisqeve, manualet e proceseve të punës, hartat e proceseve dhe gjurmët e auditimit për të realizuar një menaxhim më efektiv të fondeve publike. Ndërsa ndryshimet e shpeshta strukturore dhe mungesa e angazhimit të nivelit drejtues kanë çuar në ndërprerjen e realizimit të aktiviteteve në Ministrinë e Brendshme dhe Ministrinë e Infrastrukturës dhe Energjisë. Seanca trajnimi dhe monitorimi, seminarë praktikë dhe takime janë mbajtur me drejtues të nivelit të lartë dhe drejtues të institucioneve qendrore dhe vendore. Janë mbajtur disa seanca trajnimi për audiuesit e brendshëm. Certifikimi i 47 punonjësve si “Auditues i Brendshëm për sektorin publik” për periudhën 2017-2018, si dhe nisja e procesit të ri të certifikimit të 48 audituesve të brendshëm, për periudhën 2018-2019. 10 procese të jashtme të sigurimit të cilësisë janë kryer në bashkëpunim me ekspertë të SIGMAs për aktivitetin e auditimit në disa ML dhe ente publike. Në faqen zyrtare të MFE-së është shtuar nën-menyja e dedikuar "</w:t>
      </w:r>
      <w:r w:rsidRPr="00221487">
        <w:rPr>
          <w:rFonts w:ascii="Times New Roman" w:eastAsia="Times New Roman" w:hAnsi="Times New Roman" w:cs="Times New Roman"/>
          <w:i/>
          <w:noProof/>
          <w:lang w:val="sq-AL"/>
        </w:rPr>
        <w:t>Denonconi korrupsionin me fondet publike</w:t>
      </w:r>
      <w:r w:rsidRPr="00221487">
        <w:rPr>
          <w:rFonts w:ascii="Times New Roman" w:eastAsia="Times New Roman" w:hAnsi="Times New Roman" w:cs="Times New Roman"/>
          <w:noProof/>
          <w:lang w:val="sq-AL"/>
        </w:rPr>
        <w:t>". Janë mbajtur disa takime  me inspektorët e jashtëm të financave publike, si dhe me përfaqësuesit e Prokurorisë së Përgjithshme për të rritur ndërgjegjësimin për funksionin e inspektimit financiar publik. Lista e inspektorëve ekzistues po shqyrtohet dhe do të miratohet nga Ministri i Financave dhe Ekonomisë.</w:t>
      </w: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New Roman" w:hAnsi="Times New Roman" w:cs="Times New Roman"/>
          <w:b/>
          <w:noProof/>
          <w:lang w:val="sq-AL"/>
        </w:rPr>
        <w:t xml:space="preserve">Shtylla 6: Mbikqyrja e jashtme efektive e financave publike efektive </w:t>
      </w:r>
      <w:r w:rsidRPr="00221487">
        <w:rPr>
          <w:rFonts w:ascii="Times New Roman" w:eastAsia="Times New Roman" w:hAnsi="Times New Roman" w:cs="Times New Roman"/>
          <w:noProof/>
          <w:lang w:val="sq-AL"/>
        </w:rPr>
        <w:t>ka një objektiv: “</w:t>
      </w:r>
      <w:r w:rsidRPr="00221487">
        <w:rPr>
          <w:rFonts w:ascii="Times New Roman" w:eastAsia="Times New Roman" w:hAnsi="Times New Roman" w:cs="Times New Roman"/>
          <w:i/>
          <w:noProof/>
          <w:lang w:val="sq-AL"/>
        </w:rPr>
        <w:t>Forcimin e funksionit të mbikqyrjes së jashtme dhe sjelljen e tij në nivelin e standardeve të INTOSAI-t</w:t>
      </w:r>
      <w:r w:rsidRPr="00221487">
        <w:rPr>
          <w:rFonts w:ascii="Times New Roman" w:eastAsia="Times New Roman" w:hAnsi="Times New Roman" w:cs="Times New Roman"/>
          <w:noProof/>
          <w:lang w:val="sq-AL"/>
        </w:rPr>
        <w:t xml:space="preserve">”. Tre treguesit e saj të rezultateve janë përmbushur. Auditimet e përputhshmërisë janë ulur në 56 përqind, ndërsa auditimet finaciare dhe ato të performancës janë rritur përkatësisht në 17 dhe 11 përqind.  Treguesi i përqindjes së rekomandimeve të auditimit të pranuara në krahasim me ato të dhëna si dhe treguesi i përqindjes së rekomandimeve të zbatuara në krahasim me ato të dhëna janë arritur. Në nivel aktivitetesh, kjo Shtyllë përbëhet nga pesë masa nga të cilat tre janë plotësuar dhe dy janë në zbatim. Janë ndërmarrë 171 auditime: 117 auditime përputhshmërie (nga të cilat 42 auditime përputhshmërie pilot); 29 auditime financiare (auditime pilot); 18 auditime performance; 6 auditime TI dhe 24 auditime tematike. Numri i auditimeve pilot është rritur në përputhje me rekomandimet e Raportit të Progresit të Komisionit Evropian (KE) dhe SIGMAs. Objektivat e parashikuar në Planin Vjetor të Auditimeve për vitin 2018 janë arritur me kryerjen e 42 auditimeve pilot të përputhshmërisë dhe 29 auditimeve auditimeve pilot financiare. Për 114 auditimet e periudhës nga 1 korriku 2017 deri në 30 qershor 2018, KLSH-ja ka kryer 84 auditime për verifikimin e ndjekjes së rekomandimeve. Shkalla e rekomandimeve të auditimit të pranuara ashtu si dhe shkalla e rekomandimeve të zbatuara kanë pësuar një rritje të konsiderueshme: 96% e rekomandimeve janë pranuar dhe 60% e rekomandimeve të zbatuara. Rekomandimet lidheshin me propozimet për përmirësime të kuadrit ligjor, propozime për veprime korrigjuese: masa organizative, administrative si dhe disiplinore.    </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Të gjithë audituesit dhe punonjësit e KLSH-së janë trajnuar mesatarisht nga 29 ditë. Gjatë vitit 2018, Zhvilimi i Vazhdueshëm Profesional është zhvilluar në tre seanca kryesore me 10-20 tema gjatë muajve qershor, gusht dhe nëntor 2018 dhe është organizuar si trajnim në vendin e punës nga grupi i ekspertëve të KLSH-së. Drejtoria e Auditimeve të TI-së u bë Departamenti i Auditimeve të TI-së dhe numri i audituesve të TI-së u rrit në 10. Secili auditues i TI-së u trajnua për më shumë se 25 dite gjatë vitit 2018. Janë zhvilluar dhe përditësuar Udhëzuesit për Metodologjinë dhe TI-në dhe përditësimi konsiston në rritjen e kapaciteteve të auditimit të TI-së. Departamenti i Auditimit të TI-së ka kryer gjithsej gjashtë auditime TI, përfshirë dy auditimet pilot. Në nëntor të vitit 2018, u organizua në Tiranë një seminar praktik dy-ditor nën programin e Organizatës Europiane të Institucioneve të Auditimit të Lartë </w:t>
      </w:r>
      <w:r w:rsidRPr="00221487">
        <w:rPr>
          <w:rFonts w:ascii="Times New Roman" w:eastAsia="Times" w:hAnsi="Times New Roman" w:cs="Times New Roman"/>
          <w:noProof/>
          <w:lang w:val="sq-AL"/>
        </w:rPr>
        <w:t>Institutions (</w:t>
      </w:r>
      <w:r w:rsidRPr="00221487">
        <w:rPr>
          <w:rFonts w:ascii="Times New Roman" w:eastAsia="Times New Roman" w:hAnsi="Times New Roman" w:cs="Times New Roman"/>
          <w:noProof/>
          <w:lang w:val="sq-AL"/>
        </w:rPr>
        <w:t>EUROSAI) me pjesëmarrjen e audituesve të SAI-ve nga rajoni, si dhe me audituesit e TI-së të KLSH-së. KLSH-ja vazhdon të përmirësojë marrdhëniet me parlamentin, veçanërisht me Komisionin për Ekonominë dhe Financën. Në këtë drejtim, në 30 qershor 2018 u miratua nga Kryetari i KLSH-së udhëzuesi “</w:t>
      </w:r>
      <w:r w:rsidRPr="00221487">
        <w:rPr>
          <w:rFonts w:ascii="Times New Roman" w:eastAsia="Times New Roman" w:hAnsi="Times New Roman" w:cs="Times New Roman"/>
          <w:i/>
          <w:noProof/>
          <w:lang w:val="sq-AL"/>
        </w:rPr>
        <w:t>Institucionalizimi i marrdhënieve mes KLSH-së dhe Parlamentit</w:t>
      </w:r>
      <w:r w:rsidRPr="00221487">
        <w:rPr>
          <w:rFonts w:ascii="Times New Roman" w:eastAsia="Times New Roman" w:hAnsi="Times New Roman" w:cs="Times New Roman"/>
          <w:noProof/>
          <w:lang w:val="sq-AL"/>
        </w:rPr>
        <w:t>”. Plani i Veprimit “Mbi zbatimin e rekomandimeve të rezolutës parlamentare të 19 korrikut 2018” është miratuar nga Kryetari i KLSH-së. KLSH-ja i ka dërguar Kuvendit të Shqipërisë 56 vendime/raporte auditimi që lidhen me çështje shumë sensitive. Takimi “</w:t>
      </w:r>
      <w:r w:rsidRPr="00221487">
        <w:rPr>
          <w:rFonts w:ascii="Times New Roman" w:eastAsia="Times New Roman" w:hAnsi="Times New Roman" w:cs="Times New Roman"/>
          <w:i/>
          <w:noProof/>
          <w:lang w:val="sq-AL"/>
        </w:rPr>
        <w:t>Mbi zhvillimin e marrdhënieve të efektshme të punës ndërmjet KLSH-së dhe Parlamentit</w:t>
      </w:r>
      <w:r w:rsidRPr="00221487">
        <w:rPr>
          <w:rFonts w:ascii="Times New Roman" w:eastAsia="Times New Roman" w:hAnsi="Times New Roman" w:cs="Times New Roman"/>
          <w:noProof/>
          <w:lang w:val="sq-AL"/>
        </w:rPr>
        <w:t xml:space="preserve">”, i organizuar nga </w:t>
      </w:r>
      <w:r w:rsidRPr="00221487">
        <w:rPr>
          <w:rFonts w:ascii="Times New Roman" w:eastAsia="Times New Roman" w:hAnsi="Times New Roman" w:cs="Times New Roman"/>
          <w:noProof/>
          <w:lang w:val="sq-AL"/>
        </w:rPr>
        <w:lastRenderedPageBreak/>
        <w:t>KLSH-ja dhe SIGMA në 4 qershor 2018 luajti një rol të madh në intensifikimin e bashkëpunimit ndërmjet KLSHsë dhe parlamentit. Konferenca Kombëtare “</w:t>
      </w:r>
      <w:r w:rsidRPr="00221487">
        <w:rPr>
          <w:rFonts w:ascii="Times New Roman" w:eastAsia="Times New Roman" w:hAnsi="Times New Roman" w:cs="Times New Roman"/>
          <w:i/>
          <w:noProof/>
          <w:lang w:val="sq-AL"/>
        </w:rPr>
        <w:t>Për një autoritet kombëtar kundër korrupsionit të mirëpranuar në sistemin qeveritar</w:t>
      </w:r>
      <w:r w:rsidRPr="00221487">
        <w:rPr>
          <w:rFonts w:ascii="Times New Roman" w:eastAsia="Times New Roman" w:hAnsi="Times New Roman" w:cs="Times New Roman"/>
          <w:noProof/>
          <w:lang w:val="sq-AL"/>
        </w:rPr>
        <w:t xml:space="preserve">” u organizua nga KLSH-ja në bashkëpunim me Institutin për Demokraci dhe Ndërmjetësim në datën 14 dhjetor 2018. Vendimi i Kryetarit të KLSH-së  </w:t>
      </w:r>
      <w:r w:rsidRPr="00221487">
        <w:rPr>
          <w:rFonts w:ascii="Times New Roman" w:eastAsia="MS Mincho" w:hAnsi="Times New Roman" w:cs="Times New Roman"/>
          <w:noProof/>
          <w:lang w:val="sq-AL"/>
        </w:rPr>
        <w:t>2018 “</w:t>
      </w:r>
      <w:r w:rsidRPr="00221487">
        <w:rPr>
          <w:rFonts w:ascii="Times New Roman" w:eastAsia="MS Mincho" w:hAnsi="Times New Roman" w:cs="Times New Roman"/>
          <w:i/>
          <w:noProof/>
          <w:lang w:val="sq-AL"/>
        </w:rPr>
        <w:t>Mbi sigurimin e cilësisë së dosjeve të auditimit</w:t>
      </w:r>
      <w:r w:rsidRPr="00221487">
        <w:rPr>
          <w:rFonts w:ascii="Times New Roman" w:eastAsia="MS Mincho" w:hAnsi="Times New Roman" w:cs="Times New Roman"/>
          <w:noProof/>
          <w:lang w:val="sq-AL"/>
        </w:rPr>
        <w:t xml:space="preserve">”, doli në fund të vitit 2018 me qëllim kryerjen e një shqyrtimi të pavarur të punës audituese të kryer gjatë vitit paraardhës. Janë zhvilluar dhe janë duke u pilotuar gjatë procedurave të auditimit të KLSH-së një paketë listash kontrolli dhe Udhëzuesi i Veçantë për Kontrollin e Cilësisë (KC) dhe Sigurimin e Cilësisë (SC). Manuali për Auditimin e Mashtrimit dhe Korrupsionit u hartua në bashkëpunim me ekspertët e SAI-t polak dhe u miratua me Vendimin e Kryetarit </w:t>
      </w:r>
      <w:r w:rsidRPr="00221487">
        <w:rPr>
          <w:rFonts w:ascii="Times New Roman" w:eastAsia="Times New Roman" w:hAnsi="Times New Roman" w:cs="Times New Roman"/>
          <w:noProof/>
          <w:lang w:val="sq-AL"/>
        </w:rPr>
        <w:t>nr. 70, dateë 30 qershor 2018. Trajnimet bazuar në këtë Manual zhvillohen gjatë muajve gusht dhe nëntor për të gjithë audituesit.</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 </w:t>
      </w:r>
    </w:p>
    <w:p w:rsidR="00221487" w:rsidRPr="00221487" w:rsidRDefault="00221487" w:rsidP="00221487">
      <w:pPr>
        <w:spacing w:after="0" w:line="240" w:lineRule="auto"/>
        <w:jc w:val="both"/>
        <w:rPr>
          <w:rFonts w:ascii="Times New Roman" w:eastAsia="Times New Roman" w:hAnsi="Times New Roman" w:cs="Times New Roman"/>
          <w:noProof/>
          <w:sz w:val="16"/>
          <w:szCs w:val="16"/>
          <w:lang w:val="sq-AL"/>
        </w:rPr>
      </w:pPr>
      <w:r w:rsidRPr="00221487">
        <w:rPr>
          <w:rFonts w:ascii="Times New Roman" w:eastAsia="Times New Roman" w:hAnsi="Times New Roman" w:cs="Times New Roman"/>
          <w:noProof/>
          <w:sz w:val="16"/>
          <w:szCs w:val="16"/>
          <w:lang w:val="sq-AL"/>
        </w:rPr>
        <w:t xml:space="preserve">Aneksi 1 prezanton Statusin e zbatimit të masave të Shtyllës gjatë vitit 2018. Përdoret një sistem me ngjyrat e semaforit ku ngjyra e Kuqe = e vonuar (nuk ka nisur/në proces dhe jashtë afateve kohore); Jeshilja = sipas planit (në proces dhe brenda afateve kohore). Pa ngjyra = Përfunduar.Aneksi 2 jep një pasqyrë të Pasaportës së Treguesve të përgjithshëm të MFP, duke përdour të njëjtin sistem ngjyrash, ku E kuqja = Nuk është plotësuar dhe Jeshilja = Plotësuar; Bojëqielli – nuk është i disponueshëm. Aneksi 3 jep një pasqyrë të Treguesve Specifikë të Rezultateve për secilën Shtyllë që lidhet gjerësisht me secilin objektivduke përdorur të njëjti sistem semafori (plus ngjyrën e qelibartë = plotësuar pjesërisht). Kjo është hollësia që raportohet në do shtyllë të Seksionit 3 të raportit. </w:t>
      </w: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p>
    <w:sdt>
      <w:sdtPr>
        <w:rPr>
          <w:rFonts w:ascii="Times New Roman" w:eastAsia="Times New Roman" w:hAnsi="Times New Roman" w:cs="Times New Roman"/>
          <w:noProof/>
          <w:lang w:val="sq-AL"/>
        </w:rPr>
        <w:id w:val="-822742856"/>
        <w:docPartObj>
          <w:docPartGallery w:val="Table of Contents"/>
          <w:docPartUnique/>
        </w:docPartObj>
      </w:sdtPr>
      <w:sdtEndPr/>
      <w:sdtContent>
        <w:p w:rsidR="00221487" w:rsidRPr="00221487" w:rsidRDefault="00221487" w:rsidP="00221487">
          <w:pPr>
            <w:keepNext/>
            <w:keepLines/>
            <w:spacing w:before="480" w:after="0"/>
            <w:jc w:val="both"/>
            <w:rPr>
              <w:rFonts w:asciiTheme="majorHAnsi" w:eastAsiaTheme="majorEastAsia" w:hAnsiTheme="majorHAnsi" w:cstheme="majorBidi"/>
              <w:b/>
              <w:bCs/>
              <w:noProof/>
              <w:color w:val="365F91" w:themeColor="accent1" w:themeShade="BF"/>
              <w:sz w:val="28"/>
              <w:szCs w:val="28"/>
              <w:lang w:val="sq-AL"/>
            </w:rPr>
          </w:pPr>
        </w:p>
        <w:p w:rsidR="00221487" w:rsidRPr="00221487" w:rsidRDefault="00221487" w:rsidP="00221487">
          <w:pPr>
            <w:tabs>
              <w:tab w:val="left" w:pos="440"/>
              <w:tab w:val="right" w:pos="9620"/>
            </w:tabs>
            <w:spacing w:before="360" w:after="0" w:line="240" w:lineRule="auto"/>
            <w:rPr>
              <w:rFonts w:eastAsiaTheme="minorEastAsia"/>
              <w:noProof/>
              <w:lang w:val="sq-AL"/>
            </w:rPr>
          </w:pPr>
          <w:r w:rsidRPr="00221487">
            <w:rPr>
              <w:rFonts w:asciiTheme="majorHAnsi" w:eastAsia="Times New Roman" w:hAnsiTheme="majorHAnsi" w:cs="Times New Roman"/>
              <w:b/>
              <w:bCs/>
              <w:caps/>
              <w:noProof/>
              <w:sz w:val="24"/>
              <w:szCs w:val="24"/>
              <w:lang w:val="sq-AL"/>
            </w:rPr>
            <w:fldChar w:fldCharType="begin"/>
          </w:r>
          <w:r w:rsidRPr="00221487">
            <w:rPr>
              <w:rFonts w:asciiTheme="majorHAnsi" w:eastAsia="Times New Roman" w:hAnsiTheme="majorHAnsi" w:cs="Times New Roman"/>
              <w:b/>
              <w:bCs/>
              <w:caps/>
              <w:noProof/>
              <w:sz w:val="24"/>
              <w:szCs w:val="24"/>
              <w:lang w:val="sq-AL"/>
            </w:rPr>
            <w:instrText xml:space="preserve"> TOC \o "1-3" \h \z \u </w:instrText>
          </w:r>
          <w:r w:rsidRPr="00221487">
            <w:rPr>
              <w:rFonts w:asciiTheme="majorHAnsi" w:eastAsia="Times New Roman" w:hAnsiTheme="majorHAnsi" w:cs="Times New Roman"/>
              <w:b/>
              <w:bCs/>
              <w:caps/>
              <w:noProof/>
              <w:sz w:val="24"/>
              <w:szCs w:val="24"/>
              <w:lang w:val="sq-AL"/>
            </w:rPr>
            <w:fldChar w:fldCharType="separate"/>
          </w:r>
          <w:hyperlink w:anchor="_Toc3984444" w:history="1">
            <w:r w:rsidRPr="00221487">
              <w:rPr>
                <w:rFonts w:asciiTheme="majorHAnsi" w:eastAsia="Times New Roman" w:hAnsiTheme="majorHAnsi" w:cs="Times New Roman"/>
                <w:b/>
                <w:bCs/>
                <w:caps/>
                <w:noProof/>
                <w:color w:val="0000FF"/>
                <w:sz w:val="24"/>
                <w:szCs w:val="24"/>
                <w:u w:val="single"/>
                <w:lang w:val="sq-AL"/>
              </w:rPr>
              <w:t>1.</w:t>
            </w:r>
            <w:r w:rsidRPr="00221487">
              <w:rPr>
                <w:rFonts w:eastAsiaTheme="minorEastAsia"/>
                <w:noProof/>
                <w:lang w:val="sq-AL"/>
              </w:rPr>
              <w:tab/>
            </w:r>
            <w:r w:rsidRPr="00221487">
              <w:rPr>
                <w:rFonts w:asciiTheme="majorHAnsi" w:eastAsia="Times New Roman" w:hAnsiTheme="majorHAnsi" w:cs="Times New Roman"/>
                <w:b/>
                <w:bCs/>
                <w:caps/>
                <w:noProof/>
                <w:color w:val="0000FF"/>
                <w:sz w:val="24"/>
                <w:szCs w:val="24"/>
                <w:u w:val="single"/>
                <w:lang w:val="sq-AL"/>
              </w:rPr>
              <w:t>HYRJA DHE KONTEKSTI</w:t>
            </w:r>
            <w:r w:rsidRPr="00221487">
              <w:rPr>
                <w:rFonts w:asciiTheme="majorHAnsi" w:eastAsia="Times New Roman" w:hAnsiTheme="majorHAnsi" w:cs="Times New Roman"/>
                <w:b/>
                <w:bCs/>
                <w:caps/>
                <w:noProof/>
                <w:webHidden/>
                <w:sz w:val="24"/>
                <w:szCs w:val="24"/>
                <w:lang w:val="sq-AL"/>
              </w:rPr>
              <w:tab/>
            </w:r>
            <w:r w:rsidRPr="00221487">
              <w:rPr>
                <w:rFonts w:asciiTheme="majorHAnsi" w:eastAsia="Times New Roman" w:hAnsiTheme="majorHAnsi" w:cs="Times New Roman"/>
                <w:b/>
                <w:bCs/>
                <w:caps/>
                <w:noProof/>
                <w:webHidden/>
                <w:sz w:val="24"/>
                <w:szCs w:val="24"/>
                <w:lang w:val="sq-AL"/>
              </w:rPr>
              <w:fldChar w:fldCharType="begin"/>
            </w:r>
            <w:r w:rsidRPr="00221487">
              <w:rPr>
                <w:rFonts w:asciiTheme="majorHAnsi" w:eastAsia="Times New Roman" w:hAnsiTheme="majorHAnsi" w:cs="Times New Roman"/>
                <w:b/>
                <w:bCs/>
                <w:caps/>
                <w:noProof/>
                <w:webHidden/>
                <w:sz w:val="24"/>
                <w:szCs w:val="24"/>
                <w:lang w:val="sq-AL"/>
              </w:rPr>
              <w:instrText xml:space="preserve"> PAGEREF _Toc3984444 \h </w:instrText>
            </w:r>
            <w:r w:rsidRPr="00221487">
              <w:rPr>
                <w:rFonts w:asciiTheme="majorHAnsi" w:eastAsia="Times New Roman" w:hAnsiTheme="majorHAnsi" w:cs="Times New Roman"/>
                <w:b/>
                <w:bCs/>
                <w:caps/>
                <w:noProof/>
                <w:webHidden/>
                <w:sz w:val="24"/>
                <w:szCs w:val="24"/>
                <w:lang w:val="sq-AL"/>
              </w:rPr>
            </w:r>
            <w:r w:rsidRPr="00221487">
              <w:rPr>
                <w:rFonts w:asciiTheme="majorHAnsi" w:eastAsia="Times New Roman" w:hAnsiTheme="majorHAnsi" w:cs="Times New Roman"/>
                <w:b/>
                <w:bCs/>
                <w:caps/>
                <w:noProof/>
                <w:webHidden/>
                <w:sz w:val="24"/>
                <w:szCs w:val="24"/>
                <w:lang w:val="sq-AL"/>
              </w:rPr>
              <w:fldChar w:fldCharType="separate"/>
            </w:r>
            <w:r w:rsidRPr="00221487">
              <w:rPr>
                <w:rFonts w:asciiTheme="majorHAnsi" w:eastAsia="Times New Roman" w:hAnsiTheme="majorHAnsi" w:cs="Times New Roman"/>
                <w:b/>
                <w:bCs/>
                <w:caps/>
                <w:noProof/>
                <w:webHidden/>
                <w:sz w:val="24"/>
                <w:szCs w:val="24"/>
                <w:lang w:val="sq-AL"/>
              </w:rPr>
              <w:t>12</w:t>
            </w:r>
            <w:r w:rsidRPr="00221487">
              <w:rPr>
                <w:rFonts w:asciiTheme="majorHAnsi" w:eastAsia="Times New Roman" w:hAnsiTheme="majorHAnsi" w:cs="Times New Roman"/>
                <w:b/>
                <w:bCs/>
                <w:caps/>
                <w:noProof/>
                <w:webHidden/>
                <w:sz w:val="24"/>
                <w:szCs w:val="24"/>
                <w:lang w:val="sq-AL"/>
              </w:rPr>
              <w:fldChar w:fldCharType="end"/>
            </w:r>
          </w:hyperlink>
        </w:p>
        <w:p w:rsidR="00221487" w:rsidRPr="00221487" w:rsidRDefault="006E7A35" w:rsidP="00221487">
          <w:pPr>
            <w:tabs>
              <w:tab w:val="left" w:pos="660"/>
              <w:tab w:val="right" w:pos="9800"/>
            </w:tabs>
            <w:spacing w:before="240" w:after="0" w:line="240" w:lineRule="auto"/>
            <w:rPr>
              <w:rFonts w:eastAsiaTheme="minorEastAsia"/>
              <w:noProof/>
              <w:lang w:val="sq-AL"/>
            </w:rPr>
          </w:pPr>
          <w:hyperlink w:anchor="_Toc3984445" w:history="1">
            <w:r w:rsidR="00221487" w:rsidRPr="00221487">
              <w:rPr>
                <w:rFonts w:eastAsia="Times New Roman" w:cstheme="minorHAnsi"/>
                <w:b/>
                <w:bCs/>
                <w:noProof/>
                <w:color w:val="0000FF"/>
                <w:sz w:val="20"/>
                <w:szCs w:val="20"/>
                <w:u w:val="single"/>
                <w:lang w:val="sq-AL"/>
              </w:rPr>
              <w:t>1.1.</w:t>
            </w:r>
            <w:r w:rsidR="00221487" w:rsidRPr="00221487">
              <w:rPr>
                <w:rFonts w:eastAsiaTheme="minorEastAsia"/>
                <w:noProof/>
                <w:lang w:val="sq-AL"/>
              </w:rPr>
              <w:tab/>
            </w:r>
            <w:r w:rsidR="00221487" w:rsidRPr="00221487">
              <w:rPr>
                <w:rFonts w:eastAsia="Times New Roman" w:cstheme="minorHAnsi"/>
                <w:b/>
                <w:bCs/>
                <w:noProof/>
                <w:color w:val="0000FF"/>
                <w:sz w:val="20"/>
                <w:szCs w:val="20"/>
                <w:u w:val="single"/>
                <w:lang w:val="sq-AL"/>
              </w:rPr>
              <w:t>Hyrja</w:t>
            </w:r>
            <w:r w:rsidR="00221487" w:rsidRPr="00221487">
              <w:rPr>
                <w:rFonts w:eastAsia="Times New Roman" w:cstheme="minorHAnsi"/>
                <w:b/>
                <w:bCs/>
                <w:noProof/>
                <w:webHidden/>
                <w:sz w:val="20"/>
                <w:szCs w:val="20"/>
                <w:lang w:val="sq-AL"/>
              </w:rPr>
              <w:tab/>
            </w:r>
            <w:r w:rsidR="00221487" w:rsidRPr="00221487">
              <w:rPr>
                <w:rFonts w:eastAsia="Times New Roman" w:cstheme="minorHAnsi"/>
                <w:b/>
                <w:bCs/>
                <w:noProof/>
                <w:webHidden/>
                <w:sz w:val="20"/>
                <w:szCs w:val="20"/>
                <w:lang w:val="sq-AL"/>
              </w:rPr>
              <w:fldChar w:fldCharType="begin"/>
            </w:r>
            <w:r w:rsidR="00221487" w:rsidRPr="00221487">
              <w:rPr>
                <w:rFonts w:eastAsia="Times New Roman" w:cstheme="minorHAnsi"/>
                <w:b/>
                <w:bCs/>
                <w:noProof/>
                <w:webHidden/>
                <w:sz w:val="20"/>
                <w:szCs w:val="20"/>
                <w:lang w:val="sq-AL"/>
              </w:rPr>
              <w:instrText xml:space="preserve"> PAGEREF _Toc3984445 \h </w:instrText>
            </w:r>
            <w:r w:rsidR="00221487" w:rsidRPr="00221487">
              <w:rPr>
                <w:rFonts w:eastAsia="Times New Roman" w:cstheme="minorHAnsi"/>
                <w:b/>
                <w:bCs/>
                <w:noProof/>
                <w:webHidden/>
                <w:sz w:val="20"/>
                <w:szCs w:val="20"/>
                <w:lang w:val="sq-AL"/>
              </w:rPr>
            </w:r>
            <w:r w:rsidR="00221487" w:rsidRPr="00221487">
              <w:rPr>
                <w:rFonts w:eastAsia="Times New Roman" w:cstheme="minorHAnsi"/>
                <w:b/>
                <w:bCs/>
                <w:noProof/>
                <w:webHidden/>
                <w:sz w:val="20"/>
                <w:szCs w:val="20"/>
                <w:lang w:val="sq-AL"/>
              </w:rPr>
              <w:fldChar w:fldCharType="separate"/>
            </w:r>
            <w:r w:rsidR="00221487" w:rsidRPr="00221487">
              <w:rPr>
                <w:rFonts w:eastAsia="Times New Roman" w:cstheme="minorHAnsi"/>
                <w:b/>
                <w:bCs/>
                <w:noProof/>
                <w:webHidden/>
                <w:sz w:val="20"/>
                <w:szCs w:val="20"/>
                <w:lang w:val="sq-AL"/>
              </w:rPr>
              <w:t>12</w:t>
            </w:r>
            <w:r w:rsidR="00221487" w:rsidRPr="00221487">
              <w:rPr>
                <w:rFonts w:eastAsia="Times New Roman" w:cstheme="minorHAnsi"/>
                <w:b/>
                <w:bCs/>
                <w:noProof/>
                <w:webHidden/>
                <w:sz w:val="20"/>
                <w:szCs w:val="20"/>
                <w:lang w:val="sq-AL"/>
              </w:rPr>
              <w:fldChar w:fldCharType="end"/>
            </w:r>
          </w:hyperlink>
        </w:p>
        <w:p w:rsidR="00221487" w:rsidRPr="00221487" w:rsidRDefault="006E7A35" w:rsidP="00221487">
          <w:pPr>
            <w:tabs>
              <w:tab w:val="left" w:pos="660"/>
              <w:tab w:val="right" w:pos="9800"/>
            </w:tabs>
            <w:spacing w:before="240" w:after="0" w:line="240" w:lineRule="auto"/>
            <w:rPr>
              <w:rFonts w:eastAsiaTheme="minorEastAsia"/>
              <w:noProof/>
              <w:lang w:val="sq-AL"/>
            </w:rPr>
          </w:pPr>
          <w:hyperlink w:anchor="_Toc3984446" w:history="1">
            <w:r w:rsidR="00221487" w:rsidRPr="00221487">
              <w:rPr>
                <w:rFonts w:eastAsia="Times New Roman" w:cstheme="minorHAnsi"/>
                <w:b/>
                <w:bCs/>
                <w:noProof/>
                <w:color w:val="0000FF"/>
                <w:sz w:val="20"/>
                <w:szCs w:val="20"/>
                <w:u w:val="single"/>
                <w:lang w:val="sq-AL"/>
              </w:rPr>
              <w:t>1.2.</w:t>
            </w:r>
            <w:r w:rsidR="00221487" w:rsidRPr="00221487">
              <w:rPr>
                <w:rFonts w:eastAsiaTheme="minorEastAsia"/>
                <w:noProof/>
                <w:lang w:val="sq-AL"/>
              </w:rPr>
              <w:tab/>
            </w:r>
            <w:r w:rsidR="00221487" w:rsidRPr="00221487">
              <w:rPr>
                <w:rFonts w:eastAsia="Times New Roman" w:cstheme="minorHAnsi"/>
                <w:b/>
                <w:bCs/>
                <w:noProof/>
                <w:color w:val="0000FF"/>
                <w:sz w:val="20"/>
                <w:szCs w:val="20"/>
                <w:u w:val="single"/>
                <w:lang w:val="sq-AL"/>
              </w:rPr>
              <w:t>Progresi fiskal në vitin 2018</w:t>
            </w:r>
            <w:r w:rsidR="00221487" w:rsidRPr="00221487">
              <w:rPr>
                <w:rFonts w:eastAsia="Times New Roman" w:cstheme="minorHAnsi"/>
                <w:b/>
                <w:bCs/>
                <w:noProof/>
                <w:webHidden/>
                <w:sz w:val="20"/>
                <w:szCs w:val="20"/>
                <w:lang w:val="sq-AL"/>
              </w:rPr>
              <w:tab/>
            </w:r>
            <w:r w:rsidR="00221487" w:rsidRPr="00221487">
              <w:rPr>
                <w:rFonts w:eastAsia="Times New Roman" w:cstheme="minorHAnsi"/>
                <w:b/>
                <w:bCs/>
                <w:noProof/>
                <w:webHidden/>
                <w:sz w:val="20"/>
                <w:szCs w:val="20"/>
                <w:lang w:val="sq-AL"/>
              </w:rPr>
              <w:fldChar w:fldCharType="begin"/>
            </w:r>
            <w:r w:rsidR="00221487" w:rsidRPr="00221487">
              <w:rPr>
                <w:rFonts w:eastAsia="Times New Roman" w:cstheme="minorHAnsi"/>
                <w:b/>
                <w:bCs/>
                <w:noProof/>
                <w:webHidden/>
                <w:sz w:val="20"/>
                <w:szCs w:val="20"/>
                <w:lang w:val="sq-AL"/>
              </w:rPr>
              <w:instrText xml:space="preserve"> PAGEREF _Toc3984446 \h </w:instrText>
            </w:r>
            <w:r w:rsidR="00221487" w:rsidRPr="00221487">
              <w:rPr>
                <w:rFonts w:eastAsia="Times New Roman" w:cstheme="minorHAnsi"/>
                <w:b/>
                <w:bCs/>
                <w:noProof/>
                <w:webHidden/>
                <w:sz w:val="20"/>
                <w:szCs w:val="20"/>
                <w:lang w:val="sq-AL"/>
              </w:rPr>
            </w:r>
            <w:r w:rsidR="00221487" w:rsidRPr="00221487">
              <w:rPr>
                <w:rFonts w:eastAsia="Times New Roman" w:cstheme="minorHAnsi"/>
                <w:b/>
                <w:bCs/>
                <w:noProof/>
                <w:webHidden/>
                <w:sz w:val="20"/>
                <w:szCs w:val="20"/>
                <w:lang w:val="sq-AL"/>
              </w:rPr>
              <w:fldChar w:fldCharType="separate"/>
            </w:r>
            <w:r w:rsidR="00221487" w:rsidRPr="00221487">
              <w:rPr>
                <w:rFonts w:eastAsia="Times New Roman" w:cstheme="minorHAnsi"/>
                <w:b/>
                <w:bCs/>
                <w:noProof/>
                <w:webHidden/>
                <w:sz w:val="20"/>
                <w:szCs w:val="20"/>
                <w:lang w:val="sq-AL"/>
              </w:rPr>
              <w:t>13</w:t>
            </w:r>
            <w:r w:rsidR="00221487" w:rsidRPr="00221487">
              <w:rPr>
                <w:rFonts w:eastAsia="Times New Roman" w:cstheme="minorHAnsi"/>
                <w:b/>
                <w:bCs/>
                <w:noProof/>
                <w:webHidden/>
                <w:sz w:val="20"/>
                <w:szCs w:val="20"/>
                <w:lang w:val="sq-AL"/>
              </w:rPr>
              <w:fldChar w:fldCharType="end"/>
            </w:r>
          </w:hyperlink>
        </w:p>
        <w:p w:rsidR="00221487" w:rsidRPr="00221487" w:rsidRDefault="006E7A35" w:rsidP="00221487">
          <w:pPr>
            <w:tabs>
              <w:tab w:val="left" w:pos="660"/>
              <w:tab w:val="right" w:pos="9800"/>
            </w:tabs>
            <w:spacing w:before="240" w:after="0" w:line="240" w:lineRule="auto"/>
            <w:rPr>
              <w:rFonts w:eastAsiaTheme="minorEastAsia"/>
              <w:noProof/>
              <w:lang w:val="sq-AL"/>
            </w:rPr>
          </w:pPr>
          <w:hyperlink w:anchor="_Toc3984447" w:history="1">
            <w:r w:rsidR="00221487" w:rsidRPr="00221487">
              <w:rPr>
                <w:rFonts w:eastAsia="Times New Roman" w:cstheme="minorHAnsi"/>
                <w:b/>
                <w:bCs/>
                <w:noProof/>
                <w:color w:val="0000FF"/>
                <w:sz w:val="20"/>
                <w:szCs w:val="20"/>
                <w:u w:val="single"/>
                <w:lang w:val="sq-AL"/>
              </w:rPr>
              <w:t>1.3.</w:t>
            </w:r>
            <w:r w:rsidR="00221487" w:rsidRPr="00221487">
              <w:rPr>
                <w:rFonts w:eastAsiaTheme="minorEastAsia"/>
                <w:noProof/>
                <w:lang w:val="sq-AL"/>
              </w:rPr>
              <w:tab/>
            </w:r>
            <w:r w:rsidR="00221487" w:rsidRPr="00221487">
              <w:rPr>
                <w:rFonts w:eastAsia="Times New Roman" w:cstheme="minorHAnsi"/>
                <w:b/>
                <w:bCs/>
                <w:noProof/>
                <w:color w:val="0000FF"/>
                <w:sz w:val="20"/>
                <w:szCs w:val="20"/>
                <w:u w:val="single"/>
                <w:lang w:val="sq-AL"/>
              </w:rPr>
              <w:t>Pasqyrë e performancës së Treguesve Kyç të Performancës</w:t>
            </w:r>
            <w:r w:rsidR="00221487" w:rsidRPr="00221487">
              <w:rPr>
                <w:rFonts w:eastAsia="Times New Roman" w:cstheme="minorHAnsi"/>
                <w:b/>
                <w:bCs/>
                <w:noProof/>
                <w:webHidden/>
                <w:sz w:val="20"/>
                <w:szCs w:val="20"/>
                <w:lang w:val="sq-AL"/>
              </w:rPr>
              <w:tab/>
            </w:r>
            <w:r w:rsidR="00221487" w:rsidRPr="00221487">
              <w:rPr>
                <w:rFonts w:eastAsia="Times New Roman" w:cstheme="minorHAnsi"/>
                <w:b/>
                <w:bCs/>
                <w:noProof/>
                <w:webHidden/>
                <w:sz w:val="20"/>
                <w:szCs w:val="20"/>
                <w:lang w:val="sq-AL"/>
              </w:rPr>
              <w:fldChar w:fldCharType="begin"/>
            </w:r>
            <w:r w:rsidR="00221487" w:rsidRPr="00221487">
              <w:rPr>
                <w:rFonts w:eastAsia="Times New Roman" w:cstheme="minorHAnsi"/>
                <w:b/>
                <w:bCs/>
                <w:noProof/>
                <w:webHidden/>
                <w:sz w:val="20"/>
                <w:szCs w:val="20"/>
                <w:lang w:val="sq-AL"/>
              </w:rPr>
              <w:instrText xml:space="preserve"> PAGEREF _Toc3984447 \h </w:instrText>
            </w:r>
            <w:r w:rsidR="00221487" w:rsidRPr="00221487">
              <w:rPr>
                <w:rFonts w:eastAsia="Times New Roman" w:cstheme="minorHAnsi"/>
                <w:b/>
                <w:bCs/>
                <w:noProof/>
                <w:webHidden/>
                <w:sz w:val="20"/>
                <w:szCs w:val="20"/>
                <w:lang w:val="sq-AL"/>
              </w:rPr>
            </w:r>
            <w:r w:rsidR="00221487" w:rsidRPr="00221487">
              <w:rPr>
                <w:rFonts w:eastAsia="Times New Roman" w:cstheme="minorHAnsi"/>
                <w:b/>
                <w:bCs/>
                <w:noProof/>
                <w:webHidden/>
                <w:sz w:val="20"/>
                <w:szCs w:val="20"/>
                <w:lang w:val="sq-AL"/>
              </w:rPr>
              <w:fldChar w:fldCharType="separate"/>
            </w:r>
            <w:r w:rsidR="00221487" w:rsidRPr="00221487">
              <w:rPr>
                <w:rFonts w:eastAsia="Times New Roman" w:cstheme="minorHAnsi"/>
                <w:b/>
                <w:bCs/>
                <w:noProof/>
                <w:webHidden/>
                <w:sz w:val="20"/>
                <w:szCs w:val="20"/>
                <w:lang w:val="sq-AL"/>
              </w:rPr>
              <w:t>14</w:t>
            </w:r>
            <w:r w:rsidR="00221487" w:rsidRPr="00221487">
              <w:rPr>
                <w:rFonts w:eastAsia="Times New Roman" w:cstheme="minorHAnsi"/>
                <w:b/>
                <w:bCs/>
                <w:noProof/>
                <w:webHidden/>
                <w:sz w:val="20"/>
                <w:szCs w:val="20"/>
                <w:lang w:val="sq-AL"/>
              </w:rPr>
              <w:fldChar w:fldCharType="end"/>
            </w:r>
          </w:hyperlink>
        </w:p>
        <w:p w:rsidR="00221487" w:rsidRPr="00221487" w:rsidRDefault="006E7A35" w:rsidP="00221487">
          <w:pPr>
            <w:tabs>
              <w:tab w:val="left" w:pos="660"/>
              <w:tab w:val="right" w:pos="9800"/>
            </w:tabs>
            <w:spacing w:before="240" w:after="0" w:line="240" w:lineRule="auto"/>
            <w:rPr>
              <w:rFonts w:eastAsiaTheme="minorEastAsia"/>
              <w:noProof/>
              <w:lang w:val="sq-AL"/>
            </w:rPr>
          </w:pPr>
          <w:hyperlink w:anchor="_Toc3984448" w:history="1">
            <w:r w:rsidR="00221487" w:rsidRPr="00221487">
              <w:rPr>
                <w:rFonts w:eastAsia="Times New Roman" w:cstheme="minorHAnsi"/>
                <w:b/>
                <w:bCs/>
                <w:noProof/>
                <w:color w:val="0000FF"/>
                <w:sz w:val="20"/>
                <w:szCs w:val="20"/>
                <w:u w:val="single"/>
                <w:lang w:val="sq-AL"/>
              </w:rPr>
              <w:t>1.4.</w:t>
            </w:r>
            <w:r w:rsidR="00221487" w:rsidRPr="00221487">
              <w:rPr>
                <w:rFonts w:eastAsiaTheme="minorEastAsia"/>
                <w:noProof/>
                <w:lang w:val="sq-AL"/>
              </w:rPr>
              <w:tab/>
            </w:r>
            <w:r w:rsidR="00221487" w:rsidRPr="00221487">
              <w:rPr>
                <w:rFonts w:eastAsia="Times New Roman" w:cstheme="minorHAnsi"/>
                <w:b/>
                <w:bCs/>
                <w:noProof/>
                <w:color w:val="0000FF"/>
                <w:sz w:val="20"/>
                <w:szCs w:val="20"/>
                <w:u w:val="single"/>
                <w:lang w:val="sq-AL"/>
              </w:rPr>
              <w:t xml:space="preserve">Instrumentet e ngritura  të Strategjisë MFP </w:t>
            </w:r>
            <w:r w:rsidR="00221487" w:rsidRPr="00221487">
              <w:rPr>
                <w:rFonts w:eastAsia="Times New Roman" w:cstheme="minorHAnsi"/>
                <w:b/>
                <w:bCs/>
                <w:noProof/>
                <w:webHidden/>
                <w:sz w:val="20"/>
                <w:szCs w:val="20"/>
                <w:lang w:val="sq-AL"/>
              </w:rPr>
              <w:tab/>
            </w:r>
            <w:r w:rsidR="00221487" w:rsidRPr="00221487">
              <w:rPr>
                <w:rFonts w:eastAsia="Times New Roman" w:cstheme="minorHAnsi"/>
                <w:b/>
                <w:bCs/>
                <w:noProof/>
                <w:webHidden/>
                <w:sz w:val="20"/>
                <w:szCs w:val="20"/>
                <w:lang w:val="sq-AL"/>
              </w:rPr>
              <w:fldChar w:fldCharType="begin"/>
            </w:r>
            <w:r w:rsidR="00221487" w:rsidRPr="00221487">
              <w:rPr>
                <w:rFonts w:eastAsia="Times New Roman" w:cstheme="minorHAnsi"/>
                <w:b/>
                <w:bCs/>
                <w:noProof/>
                <w:webHidden/>
                <w:sz w:val="20"/>
                <w:szCs w:val="20"/>
                <w:lang w:val="sq-AL"/>
              </w:rPr>
              <w:instrText xml:space="preserve"> PAGEREF _Toc3984448 \h </w:instrText>
            </w:r>
            <w:r w:rsidR="00221487" w:rsidRPr="00221487">
              <w:rPr>
                <w:rFonts w:eastAsia="Times New Roman" w:cstheme="minorHAnsi"/>
                <w:b/>
                <w:bCs/>
                <w:noProof/>
                <w:webHidden/>
                <w:sz w:val="20"/>
                <w:szCs w:val="20"/>
                <w:lang w:val="sq-AL"/>
              </w:rPr>
            </w:r>
            <w:r w:rsidR="00221487" w:rsidRPr="00221487">
              <w:rPr>
                <w:rFonts w:eastAsia="Times New Roman" w:cstheme="minorHAnsi"/>
                <w:b/>
                <w:bCs/>
                <w:noProof/>
                <w:webHidden/>
                <w:sz w:val="20"/>
                <w:szCs w:val="20"/>
                <w:lang w:val="sq-AL"/>
              </w:rPr>
              <w:fldChar w:fldCharType="separate"/>
            </w:r>
            <w:r w:rsidR="00221487" w:rsidRPr="00221487">
              <w:rPr>
                <w:rFonts w:eastAsia="Times New Roman" w:cstheme="minorHAnsi"/>
                <w:b/>
                <w:bCs/>
                <w:noProof/>
                <w:webHidden/>
                <w:sz w:val="20"/>
                <w:szCs w:val="20"/>
                <w:lang w:val="sq-AL"/>
              </w:rPr>
              <w:t>15</w:t>
            </w:r>
            <w:r w:rsidR="00221487" w:rsidRPr="00221487">
              <w:rPr>
                <w:rFonts w:eastAsia="Times New Roman" w:cstheme="minorHAnsi"/>
                <w:b/>
                <w:bCs/>
                <w:noProof/>
                <w:webHidden/>
                <w:sz w:val="20"/>
                <w:szCs w:val="20"/>
                <w:lang w:val="sq-AL"/>
              </w:rPr>
              <w:fldChar w:fldCharType="end"/>
            </w:r>
          </w:hyperlink>
        </w:p>
        <w:p w:rsidR="00221487" w:rsidRPr="00221487" w:rsidRDefault="006E7A35" w:rsidP="00221487">
          <w:pPr>
            <w:tabs>
              <w:tab w:val="left" w:pos="660"/>
              <w:tab w:val="right" w:pos="9800"/>
            </w:tabs>
            <w:spacing w:before="240" w:after="0" w:line="240" w:lineRule="auto"/>
            <w:rPr>
              <w:rFonts w:eastAsiaTheme="minorEastAsia"/>
              <w:noProof/>
              <w:lang w:val="sq-AL"/>
            </w:rPr>
          </w:pPr>
          <w:hyperlink w:anchor="_Toc3984449" w:history="1">
            <w:r w:rsidR="00221487" w:rsidRPr="00221487">
              <w:rPr>
                <w:rFonts w:eastAsia="Times New Roman" w:cstheme="minorHAnsi"/>
                <w:b/>
                <w:bCs/>
                <w:noProof/>
                <w:color w:val="0000FF"/>
                <w:sz w:val="20"/>
                <w:szCs w:val="20"/>
                <w:u w:val="single"/>
                <w:lang w:val="sq-AL"/>
              </w:rPr>
              <w:t>1.5.</w:t>
            </w:r>
            <w:r w:rsidR="00221487" w:rsidRPr="00221487">
              <w:rPr>
                <w:rFonts w:eastAsiaTheme="minorEastAsia"/>
                <w:noProof/>
                <w:lang w:val="sq-AL"/>
              </w:rPr>
              <w:tab/>
            </w:r>
            <w:r w:rsidR="00221487" w:rsidRPr="00221487">
              <w:rPr>
                <w:rFonts w:eastAsia="Times New Roman" w:cstheme="minorHAnsi"/>
                <w:b/>
                <w:bCs/>
                <w:noProof/>
                <w:color w:val="0000FF"/>
                <w:sz w:val="20"/>
                <w:szCs w:val="20"/>
                <w:u w:val="single"/>
                <w:lang w:val="sq-AL"/>
              </w:rPr>
              <w:t>Vlerësimi afatmesëm</w:t>
            </w:r>
            <w:r w:rsidR="00221487" w:rsidRPr="00221487">
              <w:rPr>
                <w:rFonts w:eastAsia="Times New Roman" w:cstheme="minorHAnsi"/>
                <w:b/>
                <w:bCs/>
                <w:noProof/>
                <w:webHidden/>
                <w:sz w:val="20"/>
                <w:szCs w:val="20"/>
                <w:lang w:val="sq-AL"/>
              </w:rPr>
              <w:tab/>
            </w:r>
            <w:r w:rsidR="00221487" w:rsidRPr="00221487">
              <w:rPr>
                <w:rFonts w:eastAsia="Times New Roman" w:cstheme="minorHAnsi"/>
                <w:b/>
                <w:bCs/>
                <w:noProof/>
                <w:webHidden/>
                <w:sz w:val="20"/>
                <w:szCs w:val="20"/>
                <w:lang w:val="sq-AL"/>
              </w:rPr>
              <w:fldChar w:fldCharType="begin"/>
            </w:r>
            <w:r w:rsidR="00221487" w:rsidRPr="00221487">
              <w:rPr>
                <w:rFonts w:eastAsia="Times New Roman" w:cstheme="minorHAnsi"/>
                <w:b/>
                <w:bCs/>
                <w:noProof/>
                <w:webHidden/>
                <w:sz w:val="20"/>
                <w:szCs w:val="20"/>
                <w:lang w:val="sq-AL"/>
              </w:rPr>
              <w:instrText xml:space="preserve"> PAGEREF _Toc3984449 \h </w:instrText>
            </w:r>
            <w:r w:rsidR="00221487" w:rsidRPr="00221487">
              <w:rPr>
                <w:rFonts w:eastAsia="Times New Roman" w:cstheme="minorHAnsi"/>
                <w:b/>
                <w:bCs/>
                <w:noProof/>
                <w:webHidden/>
                <w:sz w:val="20"/>
                <w:szCs w:val="20"/>
                <w:lang w:val="sq-AL"/>
              </w:rPr>
            </w:r>
            <w:r w:rsidR="00221487" w:rsidRPr="00221487">
              <w:rPr>
                <w:rFonts w:eastAsia="Times New Roman" w:cstheme="minorHAnsi"/>
                <w:b/>
                <w:bCs/>
                <w:noProof/>
                <w:webHidden/>
                <w:sz w:val="20"/>
                <w:szCs w:val="20"/>
                <w:lang w:val="sq-AL"/>
              </w:rPr>
              <w:fldChar w:fldCharType="separate"/>
            </w:r>
            <w:r w:rsidR="00221487" w:rsidRPr="00221487">
              <w:rPr>
                <w:rFonts w:eastAsia="Times New Roman" w:cstheme="minorHAnsi"/>
                <w:b/>
                <w:bCs/>
                <w:noProof/>
                <w:webHidden/>
                <w:sz w:val="20"/>
                <w:szCs w:val="20"/>
                <w:lang w:val="sq-AL"/>
              </w:rPr>
              <w:t>16</w:t>
            </w:r>
            <w:r w:rsidR="00221487" w:rsidRPr="00221487">
              <w:rPr>
                <w:rFonts w:eastAsia="Times New Roman" w:cstheme="minorHAnsi"/>
                <w:b/>
                <w:bCs/>
                <w:noProof/>
                <w:webHidden/>
                <w:sz w:val="20"/>
                <w:szCs w:val="20"/>
                <w:lang w:val="sq-AL"/>
              </w:rPr>
              <w:fldChar w:fldCharType="end"/>
            </w:r>
          </w:hyperlink>
        </w:p>
        <w:p w:rsidR="00221487" w:rsidRPr="00221487" w:rsidRDefault="006E7A35" w:rsidP="00221487">
          <w:pPr>
            <w:tabs>
              <w:tab w:val="left" w:pos="440"/>
              <w:tab w:val="right" w:pos="9620"/>
            </w:tabs>
            <w:spacing w:before="360" w:after="0" w:line="240" w:lineRule="auto"/>
            <w:rPr>
              <w:rFonts w:eastAsiaTheme="minorEastAsia"/>
              <w:noProof/>
              <w:lang w:val="sq-AL"/>
            </w:rPr>
          </w:pPr>
          <w:hyperlink w:anchor="_Toc3984450" w:history="1">
            <w:r w:rsidR="00221487" w:rsidRPr="00221487">
              <w:rPr>
                <w:rFonts w:asciiTheme="majorHAnsi" w:eastAsia="Times New Roman" w:hAnsiTheme="majorHAnsi" w:cs="Times New Roman"/>
                <w:b/>
                <w:bCs/>
                <w:caps/>
                <w:noProof/>
                <w:color w:val="0000FF"/>
                <w:sz w:val="24"/>
                <w:szCs w:val="24"/>
                <w:u w:val="single"/>
                <w:lang w:val="sq-AL"/>
              </w:rPr>
              <w:t>2.</w:t>
            </w:r>
            <w:r w:rsidR="00221487" w:rsidRPr="00221487">
              <w:rPr>
                <w:rFonts w:ascii="Arial" w:eastAsia="Arial" w:hAnsi="Arial" w:cs="Arial"/>
                <w:b/>
                <w:bCs/>
                <w:caps/>
                <w:noProof/>
                <w:color w:val="0000FF"/>
                <w:sz w:val="24"/>
                <w:szCs w:val="24"/>
                <w:u w:val="single"/>
                <w:lang w:val="sq-AL"/>
              </w:rPr>
              <w:t xml:space="preserve"> </w:t>
            </w:r>
            <w:r w:rsidR="00221487" w:rsidRPr="00221487">
              <w:rPr>
                <w:rFonts w:asciiTheme="majorHAnsi" w:eastAsia="Times New Roman" w:hAnsiTheme="majorHAnsi" w:cs="Times New Roman"/>
                <w:b/>
                <w:bCs/>
                <w:caps/>
                <w:noProof/>
                <w:color w:val="0000FF"/>
                <w:sz w:val="24"/>
                <w:szCs w:val="24"/>
                <w:u w:val="single"/>
                <w:lang w:val="sq-AL"/>
              </w:rPr>
              <w:t>MBËSHTETJA E DONATORËVE PËR SEKTORIN E MFP</w:t>
            </w:r>
            <w:r w:rsidR="00221487" w:rsidRPr="00221487">
              <w:rPr>
                <w:rFonts w:asciiTheme="majorHAnsi" w:eastAsia="Times New Roman" w:hAnsiTheme="majorHAnsi" w:cs="Times New Roman"/>
                <w:b/>
                <w:bCs/>
                <w:caps/>
                <w:noProof/>
                <w:webHidden/>
                <w:sz w:val="24"/>
                <w:szCs w:val="24"/>
                <w:lang w:val="sq-AL"/>
              </w:rPr>
              <w:tab/>
            </w:r>
            <w:r w:rsidR="00221487" w:rsidRPr="00221487">
              <w:rPr>
                <w:rFonts w:asciiTheme="majorHAnsi" w:eastAsia="Times New Roman" w:hAnsiTheme="majorHAnsi" w:cs="Times New Roman"/>
                <w:b/>
                <w:bCs/>
                <w:caps/>
                <w:noProof/>
                <w:webHidden/>
                <w:sz w:val="24"/>
                <w:szCs w:val="24"/>
                <w:lang w:val="sq-AL"/>
              </w:rPr>
              <w:fldChar w:fldCharType="begin"/>
            </w:r>
            <w:r w:rsidR="00221487" w:rsidRPr="00221487">
              <w:rPr>
                <w:rFonts w:asciiTheme="majorHAnsi" w:eastAsia="Times New Roman" w:hAnsiTheme="majorHAnsi" w:cs="Times New Roman"/>
                <w:b/>
                <w:bCs/>
                <w:caps/>
                <w:noProof/>
                <w:webHidden/>
                <w:sz w:val="24"/>
                <w:szCs w:val="24"/>
                <w:lang w:val="sq-AL"/>
              </w:rPr>
              <w:instrText xml:space="preserve"> PAGEREF _Toc3984450 \h </w:instrText>
            </w:r>
            <w:r w:rsidR="00221487" w:rsidRPr="00221487">
              <w:rPr>
                <w:rFonts w:asciiTheme="majorHAnsi" w:eastAsia="Times New Roman" w:hAnsiTheme="majorHAnsi" w:cs="Times New Roman"/>
                <w:b/>
                <w:bCs/>
                <w:caps/>
                <w:noProof/>
                <w:webHidden/>
                <w:sz w:val="24"/>
                <w:szCs w:val="24"/>
                <w:lang w:val="sq-AL"/>
              </w:rPr>
            </w:r>
            <w:r w:rsidR="00221487" w:rsidRPr="00221487">
              <w:rPr>
                <w:rFonts w:asciiTheme="majorHAnsi" w:eastAsia="Times New Roman" w:hAnsiTheme="majorHAnsi" w:cs="Times New Roman"/>
                <w:b/>
                <w:bCs/>
                <w:caps/>
                <w:noProof/>
                <w:webHidden/>
                <w:sz w:val="24"/>
                <w:szCs w:val="24"/>
                <w:lang w:val="sq-AL"/>
              </w:rPr>
              <w:fldChar w:fldCharType="separate"/>
            </w:r>
            <w:r w:rsidR="00221487" w:rsidRPr="00221487">
              <w:rPr>
                <w:rFonts w:asciiTheme="majorHAnsi" w:eastAsia="Times New Roman" w:hAnsiTheme="majorHAnsi" w:cs="Times New Roman"/>
                <w:b/>
                <w:bCs/>
                <w:caps/>
                <w:noProof/>
                <w:webHidden/>
                <w:sz w:val="24"/>
                <w:szCs w:val="24"/>
                <w:lang w:val="sq-AL"/>
              </w:rPr>
              <w:t>17</w:t>
            </w:r>
            <w:r w:rsidR="00221487" w:rsidRPr="00221487">
              <w:rPr>
                <w:rFonts w:asciiTheme="majorHAnsi" w:eastAsia="Times New Roman" w:hAnsiTheme="majorHAnsi" w:cs="Times New Roman"/>
                <w:b/>
                <w:bCs/>
                <w:caps/>
                <w:noProof/>
                <w:webHidden/>
                <w:sz w:val="24"/>
                <w:szCs w:val="24"/>
                <w:lang w:val="sq-AL"/>
              </w:rPr>
              <w:fldChar w:fldCharType="end"/>
            </w:r>
          </w:hyperlink>
        </w:p>
        <w:p w:rsidR="00221487" w:rsidRPr="00221487" w:rsidRDefault="006E7A35" w:rsidP="00221487">
          <w:pPr>
            <w:tabs>
              <w:tab w:val="right" w:pos="9800"/>
            </w:tabs>
            <w:spacing w:before="240" w:after="0" w:line="240" w:lineRule="auto"/>
            <w:rPr>
              <w:rFonts w:eastAsiaTheme="minorEastAsia"/>
              <w:noProof/>
              <w:lang w:val="sq-AL"/>
            </w:rPr>
          </w:pPr>
          <w:hyperlink w:anchor="_Toc3984451" w:history="1">
            <w:r w:rsidR="00221487" w:rsidRPr="00221487">
              <w:rPr>
                <w:rFonts w:eastAsia="Times New Roman" w:cstheme="minorHAnsi"/>
                <w:b/>
                <w:bCs/>
                <w:noProof/>
                <w:color w:val="0000FF"/>
                <w:sz w:val="20"/>
                <w:szCs w:val="20"/>
                <w:u w:val="single"/>
                <w:lang w:val="sq-AL"/>
              </w:rPr>
              <w:t>2.1.</w:t>
            </w:r>
            <w:r w:rsidR="00221487" w:rsidRPr="00221487">
              <w:rPr>
                <w:rFonts w:ascii="Arial" w:eastAsia="Arial" w:hAnsi="Arial" w:cs="Arial"/>
                <w:b/>
                <w:bCs/>
                <w:noProof/>
                <w:color w:val="0000FF"/>
                <w:sz w:val="20"/>
                <w:szCs w:val="20"/>
                <w:u w:val="single"/>
                <w:lang w:val="sq-AL"/>
              </w:rPr>
              <w:t xml:space="preserve"> F</w:t>
            </w:r>
            <w:r w:rsidR="00221487" w:rsidRPr="00221487">
              <w:rPr>
                <w:rFonts w:eastAsia="Times New Roman" w:cstheme="minorHAnsi"/>
                <w:b/>
                <w:bCs/>
                <w:noProof/>
                <w:color w:val="0000FF"/>
                <w:sz w:val="20"/>
                <w:szCs w:val="20"/>
                <w:u w:val="single"/>
                <w:lang w:val="sq-AL"/>
              </w:rPr>
              <w:t>inancimi i donatorëve</w:t>
            </w:r>
            <w:r w:rsidR="00221487" w:rsidRPr="00221487">
              <w:rPr>
                <w:rFonts w:eastAsia="Times New Roman" w:cstheme="minorHAnsi"/>
                <w:b/>
                <w:bCs/>
                <w:noProof/>
                <w:webHidden/>
                <w:sz w:val="20"/>
                <w:szCs w:val="20"/>
                <w:lang w:val="sq-AL"/>
              </w:rPr>
              <w:tab/>
            </w:r>
            <w:r w:rsidR="00221487" w:rsidRPr="00221487">
              <w:rPr>
                <w:rFonts w:eastAsia="Times New Roman" w:cstheme="minorHAnsi"/>
                <w:b/>
                <w:bCs/>
                <w:noProof/>
                <w:webHidden/>
                <w:sz w:val="20"/>
                <w:szCs w:val="20"/>
                <w:lang w:val="sq-AL"/>
              </w:rPr>
              <w:fldChar w:fldCharType="begin"/>
            </w:r>
            <w:r w:rsidR="00221487" w:rsidRPr="00221487">
              <w:rPr>
                <w:rFonts w:eastAsia="Times New Roman" w:cstheme="minorHAnsi"/>
                <w:b/>
                <w:bCs/>
                <w:noProof/>
                <w:webHidden/>
                <w:sz w:val="20"/>
                <w:szCs w:val="20"/>
                <w:lang w:val="sq-AL"/>
              </w:rPr>
              <w:instrText xml:space="preserve"> PAGEREF _Toc3984451 \h </w:instrText>
            </w:r>
            <w:r w:rsidR="00221487" w:rsidRPr="00221487">
              <w:rPr>
                <w:rFonts w:eastAsia="Times New Roman" w:cstheme="minorHAnsi"/>
                <w:b/>
                <w:bCs/>
                <w:noProof/>
                <w:webHidden/>
                <w:sz w:val="20"/>
                <w:szCs w:val="20"/>
                <w:lang w:val="sq-AL"/>
              </w:rPr>
            </w:r>
            <w:r w:rsidR="00221487" w:rsidRPr="00221487">
              <w:rPr>
                <w:rFonts w:eastAsia="Times New Roman" w:cstheme="minorHAnsi"/>
                <w:b/>
                <w:bCs/>
                <w:noProof/>
                <w:webHidden/>
                <w:sz w:val="20"/>
                <w:szCs w:val="20"/>
                <w:lang w:val="sq-AL"/>
              </w:rPr>
              <w:fldChar w:fldCharType="separate"/>
            </w:r>
            <w:r w:rsidR="00221487" w:rsidRPr="00221487">
              <w:rPr>
                <w:rFonts w:eastAsia="Times New Roman" w:cstheme="minorHAnsi"/>
                <w:b/>
                <w:bCs/>
                <w:noProof/>
                <w:webHidden/>
                <w:sz w:val="20"/>
                <w:szCs w:val="20"/>
                <w:lang w:val="sq-AL"/>
              </w:rPr>
              <w:t>17</w:t>
            </w:r>
            <w:r w:rsidR="00221487" w:rsidRPr="00221487">
              <w:rPr>
                <w:rFonts w:eastAsia="Times New Roman" w:cstheme="minorHAnsi"/>
                <w:b/>
                <w:bCs/>
                <w:noProof/>
                <w:webHidden/>
                <w:sz w:val="20"/>
                <w:szCs w:val="20"/>
                <w:lang w:val="sq-AL"/>
              </w:rPr>
              <w:fldChar w:fldCharType="end"/>
            </w:r>
          </w:hyperlink>
        </w:p>
        <w:p w:rsidR="00221487" w:rsidRPr="00221487" w:rsidRDefault="006E7A35" w:rsidP="00221487">
          <w:pPr>
            <w:tabs>
              <w:tab w:val="right" w:pos="9800"/>
            </w:tabs>
            <w:spacing w:before="240" w:after="0" w:line="240" w:lineRule="auto"/>
            <w:rPr>
              <w:rFonts w:eastAsiaTheme="minorEastAsia"/>
              <w:noProof/>
              <w:lang w:val="sq-AL"/>
            </w:rPr>
          </w:pPr>
          <w:hyperlink w:anchor="_Toc3984452" w:history="1">
            <w:r w:rsidR="00221487" w:rsidRPr="00221487">
              <w:rPr>
                <w:rFonts w:eastAsia="Times New Roman" w:cstheme="minorHAnsi"/>
                <w:b/>
                <w:bCs/>
                <w:noProof/>
                <w:color w:val="0000FF"/>
                <w:sz w:val="20"/>
                <w:szCs w:val="20"/>
                <w:u w:val="single"/>
                <w:lang w:val="sq-AL"/>
              </w:rPr>
              <w:t>2.2.</w:t>
            </w:r>
            <w:r w:rsidR="00221487" w:rsidRPr="00221487">
              <w:rPr>
                <w:rFonts w:ascii="Arial" w:eastAsia="Arial" w:hAnsi="Arial" w:cs="Arial"/>
                <w:b/>
                <w:bCs/>
                <w:noProof/>
                <w:color w:val="0000FF"/>
                <w:sz w:val="20"/>
                <w:szCs w:val="20"/>
                <w:u w:val="single"/>
                <w:lang w:val="sq-AL"/>
              </w:rPr>
              <w:t xml:space="preserve"> </w:t>
            </w:r>
            <w:r w:rsidR="00221487" w:rsidRPr="00221487">
              <w:rPr>
                <w:rFonts w:eastAsia="Times New Roman" w:cstheme="minorHAnsi"/>
                <w:b/>
                <w:bCs/>
                <w:noProof/>
                <w:color w:val="0000FF"/>
                <w:sz w:val="20"/>
                <w:szCs w:val="20"/>
                <w:u w:val="single"/>
                <w:lang w:val="sq-AL"/>
              </w:rPr>
              <w:t>Vlerësime në lidhje me MFP</w:t>
            </w:r>
            <w:r w:rsidR="00221487" w:rsidRPr="00221487">
              <w:rPr>
                <w:rFonts w:eastAsia="Times New Roman" w:cstheme="minorHAnsi"/>
                <w:b/>
                <w:bCs/>
                <w:noProof/>
                <w:webHidden/>
                <w:sz w:val="20"/>
                <w:szCs w:val="20"/>
                <w:lang w:val="sq-AL"/>
              </w:rPr>
              <w:tab/>
            </w:r>
            <w:r w:rsidR="00221487" w:rsidRPr="00221487">
              <w:rPr>
                <w:rFonts w:eastAsia="Times New Roman" w:cstheme="minorHAnsi"/>
                <w:b/>
                <w:bCs/>
                <w:noProof/>
                <w:webHidden/>
                <w:sz w:val="20"/>
                <w:szCs w:val="20"/>
                <w:lang w:val="sq-AL"/>
              </w:rPr>
              <w:fldChar w:fldCharType="begin"/>
            </w:r>
            <w:r w:rsidR="00221487" w:rsidRPr="00221487">
              <w:rPr>
                <w:rFonts w:eastAsia="Times New Roman" w:cstheme="minorHAnsi"/>
                <w:b/>
                <w:bCs/>
                <w:noProof/>
                <w:webHidden/>
                <w:sz w:val="20"/>
                <w:szCs w:val="20"/>
                <w:lang w:val="sq-AL"/>
              </w:rPr>
              <w:instrText xml:space="preserve"> PAGEREF _Toc3984452 \h </w:instrText>
            </w:r>
            <w:r w:rsidR="00221487" w:rsidRPr="00221487">
              <w:rPr>
                <w:rFonts w:eastAsia="Times New Roman" w:cstheme="minorHAnsi"/>
                <w:b/>
                <w:bCs/>
                <w:noProof/>
                <w:webHidden/>
                <w:sz w:val="20"/>
                <w:szCs w:val="20"/>
                <w:lang w:val="sq-AL"/>
              </w:rPr>
            </w:r>
            <w:r w:rsidR="00221487" w:rsidRPr="00221487">
              <w:rPr>
                <w:rFonts w:eastAsia="Times New Roman" w:cstheme="minorHAnsi"/>
                <w:b/>
                <w:bCs/>
                <w:noProof/>
                <w:webHidden/>
                <w:sz w:val="20"/>
                <w:szCs w:val="20"/>
                <w:lang w:val="sq-AL"/>
              </w:rPr>
              <w:fldChar w:fldCharType="separate"/>
            </w:r>
            <w:r w:rsidR="00221487" w:rsidRPr="00221487">
              <w:rPr>
                <w:rFonts w:eastAsia="Times New Roman" w:cstheme="minorHAnsi"/>
                <w:b/>
                <w:bCs/>
                <w:noProof/>
                <w:webHidden/>
                <w:sz w:val="20"/>
                <w:szCs w:val="20"/>
                <w:lang w:val="sq-AL"/>
              </w:rPr>
              <w:t>19</w:t>
            </w:r>
            <w:r w:rsidR="00221487" w:rsidRPr="00221487">
              <w:rPr>
                <w:rFonts w:eastAsia="Times New Roman" w:cstheme="minorHAnsi"/>
                <w:b/>
                <w:bCs/>
                <w:noProof/>
                <w:webHidden/>
                <w:sz w:val="20"/>
                <w:szCs w:val="20"/>
                <w:lang w:val="sq-AL"/>
              </w:rPr>
              <w:fldChar w:fldCharType="end"/>
            </w:r>
          </w:hyperlink>
        </w:p>
        <w:p w:rsidR="00221487" w:rsidRPr="00221487" w:rsidRDefault="006E7A35" w:rsidP="00221487">
          <w:pPr>
            <w:tabs>
              <w:tab w:val="right" w:pos="9800"/>
            </w:tabs>
            <w:spacing w:after="0" w:line="240" w:lineRule="auto"/>
            <w:ind w:left="220"/>
            <w:rPr>
              <w:rFonts w:eastAsiaTheme="minorEastAsia"/>
              <w:noProof/>
              <w:lang w:val="sq-AL"/>
            </w:rPr>
          </w:pPr>
          <w:hyperlink w:anchor="_Toc3984453" w:history="1">
            <w:r w:rsidR="00221487" w:rsidRPr="00221487">
              <w:rPr>
                <w:rFonts w:eastAsia="Times New Roman" w:cstheme="minorHAnsi"/>
                <w:noProof/>
                <w:color w:val="0000FF"/>
                <w:sz w:val="20"/>
                <w:szCs w:val="20"/>
                <w:u w:val="single"/>
                <w:lang w:val="sq-AL"/>
              </w:rPr>
              <w:t>2.1.1.</w:t>
            </w:r>
            <w:r w:rsidR="00221487" w:rsidRPr="00221487">
              <w:rPr>
                <w:rFonts w:ascii="Arial" w:eastAsia="Arial" w:hAnsi="Arial" w:cs="Arial"/>
                <w:noProof/>
                <w:color w:val="0000FF"/>
                <w:sz w:val="20"/>
                <w:szCs w:val="20"/>
                <w:u w:val="single"/>
                <w:lang w:val="sq-AL"/>
              </w:rPr>
              <w:t xml:space="preserve"> </w:t>
            </w:r>
            <w:r w:rsidR="00221487" w:rsidRPr="00221487">
              <w:rPr>
                <w:rFonts w:eastAsia="Times New Roman" w:cstheme="minorHAnsi"/>
                <w:noProof/>
                <w:color w:val="0000FF"/>
                <w:sz w:val="20"/>
                <w:szCs w:val="20"/>
                <w:u w:val="single"/>
                <w:lang w:val="sq-AL"/>
              </w:rPr>
              <w:t>Asistenca teknike e BE-së për MFP</w:t>
            </w:r>
            <w:r w:rsidR="00221487" w:rsidRPr="00221487">
              <w:rPr>
                <w:rFonts w:eastAsia="Times New Roman" w:cstheme="minorHAnsi"/>
                <w:noProof/>
                <w:webHidden/>
                <w:sz w:val="20"/>
                <w:szCs w:val="20"/>
                <w:lang w:val="sq-AL"/>
              </w:rPr>
              <w:tab/>
            </w:r>
            <w:r w:rsidR="00221487" w:rsidRPr="00221487">
              <w:rPr>
                <w:rFonts w:eastAsia="Times New Roman" w:cstheme="minorHAnsi"/>
                <w:noProof/>
                <w:webHidden/>
                <w:sz w:val="20"/>
                <w:szCs w:val="20"/>
                <w:lang w:val="sq-AL"/>
              </w:rPr>
              <w:fldChar w:fldCharType="begin"/>
            </w:r>
            <w:r w:rsidR="00221487" w:rsidRPr="00221487">
              <w:rPr>
                <w:rFonts w:eastAsia="Times New Roman" w:cstheme="minorHAnsi"/>
                <w:noProof/>
                <w:webHidden/>
                <w:sz w:val="20"/>
                <w:szCs w:val="20"/>
                <w:lang w:val="sq-AL"/>
              </w:rPr>
              <w:instrText xml:space="preserve"> PAGEREF _Toc3984453 \h </w:instrText>
            </w:r>
            <w:r w:rsidR="00221487" w:rsidRPr="00221487">
              <w:rPr>
                <w:rFonts w:eastAsia="Times New Roman" w:cstheme="minorHAnsi"/>
                <w:noProof/>
                <w:webHidden/>
                <w:sz w:val="20"/>
                <w:szCs w:val="20"/>
                <w:lang w:val="sq-AL"/>
              </w:rPr>
            </w:r>
            <w:r w:rsidR="00221487" w:rsidRPr="00221487">
              <w:rPr>
                <w:rFonts w:eastAsia="Times New Roman" w:cstheme="minorHAnsi"/>
                <w:noProof/>
                <w:webHidden/>
                <w:sz w:val="20"/>
                <w:szCs w:val="20"/>
                <w:lang w:val="sq-AL"/>
              </w:rPr>
              <w:fldChar w:fldCharType="separate"/>
            </w:r>
            <w:r w:rsidR="00221487" w:rsidRPr="00221487">
              <w:rPr>
                <w:rFonts w:eastAsia="Times New Roman" w:cstheme="minorHAnsi"/>
                <w:noProof/>
                <w:webHidden/>
                <w:sz w:val="20"/>
                <w:szCs w:val="20"/>
                <w:lang w:val="sq-AL"/>
              </w:rPr>
              <w:t>19</w:t>
            </w:r>
            <w:r w:rsidR="00221487" w:rsidRPr="00221487">
              <w:rPr>
                <w:rFonts w:eastAsia="Times New Roman" w:cstheme="minorHAnsi"/>
                <w:noProof/>
                <w:webHidden/>
                <w:sz w:val="20"/>
                <w:szCs w:val="20"/>
                <w:lang w:val="sq-AL"/>
              </w:rPr>
              <w:fldChar w:fldCharType="end"/>
            </w:r>
          </w:hyperlink>
        </w:p>
        <w:p w:rsidR="00221487" w:rsidRPr="00221487" w:rsidRDefault="006E7A35" w:rsidP="00221487">
          <w:pPr>
            <w:tabs>
              <w:tab w:val="left" w:pos="1100"/>
              <w:tab w:val="right" w:pos="9800"/>
            </w:tabs>
            <w:spacing w:after="0" w:line="240" w:lineRule="auto"/>
            <w:ind w:left="220"/>
            <w:rPr>
              <w:rFonts w:eastAsiaTheme="minorEastAsia"/>
              <w:noProof/>
              <w:lang w:val="sq-AL"/>
            </w:rPr>
          </w:pPr>
          <w:hyperlink w:anchor="_Toc3984454" w:history="1">
            <w:r w:rsidR="00221487" w:rsidRPr="00221487">
              <w:rPr>
                <w:rFonts w:eastAsia="Times" w:cstheme="minorHAnsi"/>
                <w:noProof/>
                <w:color w:val="0000FF"/>
                <w:sz w:val="20"/>
                <w:szCs w:val="20"/>
                <w:u w:val="single"/>
                <w:lang w:val="sq-AL"/>
              </w:rPr>
              <w:t>2.2.2.</w:t>
            </w:r>
            <w:r w:rsidR="00221487" w:rsidRPr="00221487">
              <w:rPr>
                <w:rFonts w:eastAsiaTheme="minorEastAsia"/>
                <w:noProof/>
                <w:lang w:val="sq-AL"/>
              </w:rPr>
              <w:t xml:space="preserve">  </w:t>
            </w:r>
            <w:r w:rsidR="00221487" w:rsidRPr="00221487">
              <w:rPr>
                <w:rFonts w:eastAsia="Times" w:cstheme="minorHAnsi"/>
                <w:noProof/>
                <w:color w:val="0000FF"/>
                <w:sz w:val="20"/>
                <w:szCs w:val="20"/>
                <w:u w:val="single"/>
                <w:lang w:val="sq-AL"/>
              </w:rPr>
              <w:t>Misioni i Shqyrtimit të Përputhshmërisë</w:t>
            </w:r>
            <w:r w:rsidR="00221487" w:rsidRPr="00221487">
              <w:rPr>
                <w:rFonts w:eastAsia="Times New Roman" w:cstheme="minorHAnsi"/>
                <w:noProof/>
                <w:webHidden/>
                <w:sz w:val="20"/>
                <w:szCs w:val="20"/>
                <w:lang w:val="sq-AL"/>
              </w:rPr>
              <w:tab/>
            </w:r>
            <w:r w:rsidR="00221487" w:rsidRPr="00221487">
              <w:rPr>
                <w:rFonts w:eastAsia="Times New Roman" w:cstheme="minorHAnsi"/>
                <w:noProof/>
                <w:webHidden/>
                <w:sz w:val="20"/>
                <w:szCs w:val="20"/>
                <w:lang w:val="sq-AL"/>
              </w:rPr>
              <w:fldChar w:fldCharType="begin"/>
            </w:r>
            <w:r w:rsidR="00221487" w:rsidRPr="00221487">
              <w:rPr>
                <w:rFonts w:eastAsia="Times New Roman" w:cstheme="minorHAnsi"/>
                <w:noProof/>
                <w:webHidden/>
                <w:sz w:val="20"/>
                <w:szCs w:val="20"/>
                <w:lang w:val="sq-AL"/>
              </w:rPr>
              <w:instrText xml:space="preserve"> PAGEREF _Toc3984454 \h </w:instrText>
            </w:r>
            <w:r w:rsidR="00221487" w:rsidRPr="00221487">
              <w:rPr>
                <w:rFonts w:eastAsia="Times New Roman" w:cstheme="minorHAnsi"/>
                <w:noProof/>
                <w:webHidden/>
                <w:sz w:val="20"/>
                <w:szCs w:val="20"/>
                <w:lang w:val="sq-AL"/>
              </w:rPr>
            </w:r>
            <w:r w:rsidR="00221487" w:rsidRPr="00221487">
              <w:rPr>
                <w:rFonts w:eastAsia="Times New Roman" w:cstheme="minorHAnsi"/>
                <w:noProof/>
                <w:webHidden/>
                <w:sz w:val="20"/>
                <w:szCs w:val="20"/>
                <w:lang w:val="sq-AL"/>
              </w:rPr>
              <w:fldChar w:fldCharType="separate"/>
            </w:r>
            <w:r w:rsidR="00221487" w:rsidRPr="00221487">
              <w:rPr>
                <w:rFonts w:eastAsia="Times New Roman" w:cstheme="minorHAnsi"/>
                <w:noProof/>
                <w:webHidden/>
                <w:sz w:val="20"/>
                <w:szCs w:val="20"/>
                <w:lang w:val="sq-AL"/>
              </w:rPr>
              <w:t>19</w:t>
            </w:r>
            <w:r w:rsidR="00221487" w:rsidRPr="00221487">
              <w:rPr>
                <w:rFonts w:eastAsia="Times New Roman" w:cstheme="minorHAnsi"/>
                <w:noProof/>
                <w:webHidden/>
                <w:sz w:val="20"/>
                <w:szCs w:val="20"/>
                <w:lang w:val="sq-AL"/>
              </w:rPr>
              <w:fldChar w:fldCharType="end"/>
            </w:r>
          </w:hyperlink>
        </w:p>
        <w:p w:rsidR="00221487" w:rsidRPr="00221487" w:rsidRDefault="006E7A35" w:rsidP="00221487">
          <w:pPr>
            <w:tabs>
              <w:tab w:val="left" w:pos="660"/>
              <w:tab w:val="right" w:pos="9800"/>
            </w:tabs>
            <w:spacing w:before="240" w:after="0" w:line="240" w:lineRule="auto"/>
            <w:rPr>
              <w:rFonts w:eastAsiaTheme="minorEastAsia"/>
              <w:noProof/>
              <w:lang w:val="sq-AL"/>
            </w:rPr>
          </w:pPr>
          <w:hyperlink w:anchor="_Toc3984455" w:history="1">
            <w:r w:rsidR="00221487" w:rsidRPr="00221487">
              <w:rPr>
                <w:rFonts w:eastAsia="Times New Roman" w:cstheme="minorHAnsi"/>
                <w:b/>
                <w:bCs/>
                <w:noProof/>
                <w:color w:val="0000FF"/>
                <w:sz w:val="20"/>
                <w:szCs w:val="20"/>
                <w:u w:val="single"/>
                <w:lang w:val="sq-AL"/>
              </w:rPr>
              <w:t>2.3.</w:t>
            </w:r>
            <w:r w:rsidR="00221487" w:rsidRPr="00221487">
              <w:rPr>
                <w:rFonts w:ascii="Arial" w:eastAsia="Arial" w:hAnsi="Arial" w:cs="Arial"/>
                <w:b/>
                <w:bCs/>
                <w:noProof/>
                <w:color w:val="0000FF"/>
                <w:sz w:val="20"/>
                <w:szCs w:val="20"/>
                <w:u w:val="single"/>
                <w:lang w:val="sq-AL"/>
              </w:rPr>
              <w:t xml:space="preserve"> </w:t>
            </w:r>
            <w:r w:rsidR="00221487" w:rsidRPr="00221487">
              <w:rPr>
                <w:rFonts w:eastAsiaTheme="minorEastAsia"/>
                <w:noProof/>
                <w:lang w:val="sq-AL"/>
              </w:rPr>
              <w:tab/>
            </w:r>
            <w:r w:rsidR="00221487" w:rsidRPr="00221487">
              <w:rPr>
                <w:rFonts w:eastAsia="Times New Roman" w:cstheme="minorHAnsi"/>
                <w:b/>
                <w:bCs/>
                <w:noProof/>
                <w:color w:val="0000FF"/>
                <w:sz w:val="20"/>
                <w:szCs w:val="20"/>
                <w:u w:val="single"/>
                <w:lang w:val="sq-AL"/>
              </w:rPr>
              <w:t>Vizibiliteti i Strategjisë MFP</w:t>
            </w:r>
            <w:r w:rsidR="00221487" w:rsidRPr="00221487">
              <w:rPr>
                <w:rFonts w:eastAsia="Times New Roman" w:cstheme="minorHAnsi"/>
                <w:b/>
                <w:bCs/>
                <w:noProof/>
                <w:webHidden/>
                <w:sz w:val="20"/>
                <w:szCs w:val="20"/>
                <w:lang w:val="sq-AL"/>
              </w:rPr>
              <w:tab/>
            </w:r>
            <w:r w:rsidR="00221487" w:rsidRPr="00221487">
              <w:rPr>
                <w:rFonts w:eastAsia="Times New Roman" w:cstheme="minorHAnsi"/>
                <w:b/>
                <w:bCs/>
                <w:noProof/>
                <w:webHidden/>
                <w:sz w:val="20"/>
                <w:szCs w:val="20"/>
                <w:lang w:val="sq-AL"/>
              </w:rPr>
              <w:fldChar w:fldCharType="begin"/>
            </w:r>
            <w:r w:rsidR="00221487" w:rsidRPr="00221487">
              <w:rPr>
                <w:rFonts w:eastAsia="Times New Roman" w:cstheme="minorHAnsi"/>
                <w:b/>
                <w:bCs/>
                <w:noProof/>
                <w:webHidden/>
                <w:sz w:val="20"/>
                <w:szCs w:val="20"/>
                <w:lang w:val="sq-AL"/>
              </w:rPr>
              <w:instrText xml:space="preserve"> PAGEREF _Toc3984455 \h </w:instrText>
            </w:r>
            <w:r w:rsidR="00221487" w:rsidRPr="00221487">
              <w:rPr>
                <w:rFonts w:eastAsia="Times New Roman" w:cstheme="minorHAnsi"/>
                <w:b/>
                <w:bCs/>
                <w:noProof/>
                <w:webHidden/>
                <w:sz w:val="20"/>
                <w:szCs w:val="20"/>
                <w:lang w:val="sq-AL"/>
              </w:rPr>
            </w:r>
            <w:r w:rsidR="00221487" w:rsidRPr="00221487">
              <w:rPr>
                <w:rFonts w:eastAsia="Times New Roman" w:cstheme="minorHAnsi"/>
                <w:b/>
                <w:bCs/>
                <w:noProof/>
                <w:webHidden/>
                <w:sz w:val="20"/>
                <w:szCs w:val="20"/>
                <w:lang w:val="sq-AL"/>
              </w:rPr>
              <w:fldChar w:fldCharType="separate"/>
            </w:r>
            <w:r w:rsidR="00221487" w:rsidRPr="00221487">
              <w:rPr>
                <w:rFonts w:eastAsia="Times New Roman" w:cstheme="minorHAnsi"/>
                <w:b/>
                <w:bCs/>
                <w:noProof/>
                <w:webHidden/>
                <w:sz w:val="20"/>
                <w:szCs w:val="20"/>
                <w:lang w:val="sq-AL"/>
              </w:rPr>
              <w:t>20</w:t>
            </w:r>
            <w:r w:rsidR="00221487" w:rsidRPr="00221487">
              <w:rPr>
                <w:rFonts w:eastAsia="Times New Roman" w:cstheme="minorHAnsi"/>
                <w:b/>
                <w:bCs/>
                <w:noProof/>
                <w:webHidden/>
                <w:sz w:val="20"/>
                <w:szCs w:val="20"/>
                <w:lang w:val="sq-AL"/>
              </w:rPr>
              <w:fldChar w:fldCharType="end"/>
            </w:r>
          </w:hyperlink>
        </w:p>
        <w:p w:rsidR="00221487" w:rsidRPr="00221487" w:rsidRDefault="006E7A35" w:rsidP="00221487">
          <w:pPr>
            <w:tabs>
              <w:tab w:val="left" w:pos="440"/>
              <w:tab w:val="right" w:pos="9620"/>
            </w:tabs>
            <w:spacing w:before="360" w:after="0" w:line="240" w:lineRule="auto"/>
            <w:rPr>
              <w:rFonts w:eastAsiaTheme="minorEastAsia"/>
              <w:noProof/>
              <w:lang w:val="sq-AL"/>
            </w:rPr>
          </w:pPr>
          <w:hyperlink w:anchor="_Toc3984456" w:history="1">
            <w:r w:rsidR="00221487" w:rsidRPr="00221487">
              <w:rPr>
                <w:rFonts w:ascii="Times New Roman Bold" w:eastAsia="Times" w:hAnsi="Times New Roman Bold" w:cs="Times New Roman"/>
                <w:b/>
                <w:bCs/>
                <w:caps/>
                <w:noProof/>
                <w:color w:val="0000FF"/>
                <w:sz w:val="24"/>
                <w:szCs w:val="24"/>
                <w:u w:val="single"/>
                <w:lang w:val="sq-AL"/>
              </w:rPr>
              <w:t>3.</w:t>
            </w:r>
            <w:r w:rsidR="00221487" w:rsidRPr="00221487">
              <w:rPr>
                <w:rFonts w:eastAsiaTheme="minorEastAsia"/>
                <w:noProof/>
                <w:lang w:val="sq-AL"/>
              </w:rPr>
              <w:tab/>
            </w:r>
            <w:r w:rsidR="00221487" w:rsidRPr="00221487">
              <w:rPr>
                <w:rFonts w:ascii="Times New Roman Bold" w:eastAsia="Times" w:hAnsi="Times New Roman Bold" w:cs="Times New Roman"/>
                <w:b/>
                <w:bCs/>
                <w:caps/>
                <w:noProof/>
                <w:color w:val="0000FF"/>
                <w:sz w:val="24"/>
                <w:szCs w:val="24"/>
                <w:u w:val="single"/>
                <w:lang w:val="sq-AL"/>
              </w:rPr>
              <w:t>PROGRESi i reformës mfp për vitin 2018</w:t>
            </w:r>
            <w:r w:rsidR="00221487" w:rsidRPr="00221487">
              <w:rPr>
                <w:rFonts w:asciiTheme="majorHAnsi" w:eastAsia="Times New Roman" w:hAnsiTheme="majorHAnsi" w:cs="Times New Roman"/>
                <w:b/>
                <w:bCs/>
                <w:caps/>
                <w:noProof/>
                <w:webHidden/>
                <w:sz w:val="24"/>
                <w:szCs w:val="24"/>
                <w:lang w:val="sq-AL"/>
              </w:rPr>
              <w:tab/>
            </w:r>
            <w:r w:rsidR="00221487" w:rsidRPr="00221487">
              <w:rPr>
                <w:rFonts w:asciiTheme="majorHAnsi" w:eastAsia="Times New Roman" w:hAnsiTheme="majorHAnsi" w:cs="Times New Roman"/>
                <w:b/>
                <w:bCs/>
                <w:caps/>
                <w:noProof/>
                <w:webHidden/>
                <w:sz w:val="24"/>
                <w:szCs w:val="24"/>
                <w:lang w:val="sq-AL"/>
              </w:rPr>
              <w:fldChar w:fldCharType="begin"/>
            </w:r>
            <w:r w:rsidR="00221487" w:rsidRPr="00221487">
              <w:rPr>
                <w:rFonts w:asciiTheme="majorHAnsi" w:eastAsia="Times New Roman" w:hAnsiTheme="majorHAnsi" w:cs="Times New Roman"/>
                <w:b/>
                <w:bCs/>
                <w:caps/>
                <w:noProof/>
                <w:webHidden/>
                <w:sz w:val="24"/>
                <w:szCs w:val="24"/>
                <w:lang w:val="sq-AL"/>
              </w:rPr>
              <w:instrText xml:space="preserve"> PAGEREF _Toc3984456 \h </w:instrText>
            </w:r>
            <w:r w:rsidR="00221487" w:rsidRPr="00221487">
              <w:rPr>
                <w:rFonts w:asciiTheme="majorHAnsi" w:eastAsia="Times New Roman" w:hAnsiTheme="majorHAnsi" w:cs="Times New Roman"/>
                <w:b/>
                <w:bCs/>
                <w:caps/>
                <w:noProof/>
                <w:webHidden/>
                <w:sz w:val="24"/>
                <w:szCs w:val="24"/>
                <w:lang w:val="sq-AL"/>
              </w:rPr>
            </w:r>
            <w:r w:rsidR="00221487" w:rsidRPr="00221487">
              <w:rPr>
                <w:rFonts w:asciiTheme="majorHAnsi" w:eastAsia="Times New Roman" w:hAnsiTheme="majorHAnsi" w:cs="Times New Roman"/>
                <w:b/>
                <w:bCs/>
                <w:caps/>
                <w:noProof/>
                <w:webHidden/>
                <w:sz w:val="24"/>
                <w:szCs w:val="24"/>
                <w:lang w:val="sq-AL"/>
              </w:rPr>
              <w:fldChar w:fldCharType="separate"/>
            </w:r>
            <w:r w:rsidR="00221487" w:rsidRPr="00221487">
              <w:rPr>
                <w:rFonts w:asciiTheme="majorHAnsi" w:eastAsia="Times New Roman" w:hAnsiTheme="majorHAnsi" w:cs="Times New Roman"/>
                <w:b/>
                <w:bCs/>
                <w:caps/>
                <w:noProof/>
                <w:webHidden/>
                <w:sz w:val="24"/>
                <w:szCs w:val="24"/>
                <w:lang w:val="sq-AL"/>
              </w:rPr>
              <w:t>22</w:t>
            </w:r>
            <w:r w:rsidR="00221487" w:rsidRPr="00221487">
              <w:rPr>
                <w:rFonts w:asciiTheme="majorHAnsi" w:eastAsia="Times New Roman" w:hAnsiTheme="majorHAnsi" w:cs="Times New Roman"/>
                <w:b/>
                <w:bCs/>
                <w:caps/>
                <w:noProof/>
                <w:webHidden/>
                <w:sz w:val="24"/>
                <w:szCs w:val="24"/>
                <w:lang w:val="sq-AL"/>
              </w:rPr>
              <w:fldChar w:fldCharType="end"/>
            </w:r>
          </w:hyperlink>
        </w:p>
        <w:p w:rsidR="00221487" w:rsidRPr="00221487" w:rsidRDefault="006E7A35" w:rsidP="00221487">
          <w:pPr>
            <w:tabs>
              <w:tab w:val="left" w:pos="660"/>
              <w:tab w:val="right" w:pos="9800"/>
            </w:tabs>
            <w:spacing w:before="240" w:after="0" w:line="240" w:lineRule="auto"/>
            <w:rPr>
              <w:rFonts w:eastAsiaTheme="minorEastAsia"/>
              <w:noProof/>
              <w:lang w:val="sq-AL"/>
            </w:rPr>
          </w:pPr>
          <w:hyperlink w:anchor="_Toc3984457" w:history="1">
            <w:r w:rsidR="00221487" w:rsidRPr="00221487">
              <w:rPr>
                <w:rFonts w:eastAsia="Times" w:cstheme="minorHAnsi"/>
                <w:b/>
                <w:bCs/>
                <w:noProof/>
                <w:color w:val="0000FF"/>
                <w:sz w:val="20"/>
                <w:szCs w:val="20"/>
                <w:u w:val="single"/>
                <w:lang w:val="sq-AL"/>
              </w:rPr>
              <w:t>3.1.</w:t>
            </w:r>
            <w:r w:rsidR="00221487" w:rsidRPr="00221487">
              <w:rPr>
                <w:rFonts w:eastAsiaTheme="minorEastAsia"/>
                <w:noProof/>
                <w:lang w:val="sq-AL"/>
              </w:rPr>
              <w:tab/>
            </w:r>
            <w:r w:rsidR="00221487" w:rsidRPr="00221487">
              <w:rPr>
                <w:rFonts w:eastAsia="Times" w:cstheme="minorHAnsi"/>
                <w:b/>
                <w:bCs/>
                <w:noProof/>
                <w:color w:val="0000FF"/>
                <w:sz w:val="20"/>
                <w:szCs w:val="20"/>
                <w:u w:val="single"/>
                <w:lang w:val="sq-AL"/>
              </w:rPr>
              <w:t>Shtylla 1- Kuadër fiskal i qendrueshëm dhe i matur</w:t>
            </w:r>
            <w:r w:rsidR="00221487" w:rsidRPr="00221487">
              <w:rPr>
                <w:rFonts w:eastAsia="Times New Roman" w:cstheme="minorHAnsi"/>
                <w:b/>
                <w:bCs/>
                <w:noProof/>
                <w:webHidden/>
                <w:sz w:val="20"/>
                <w:szCs w:val="20"/>
                <w:lang w:val="sq-AL"/>
              </w:rPr>
              <w:tab/>
            </w:r>
            <w:r w:rsidR="00221487" w:rsidRPr="00221487">
              <w:rPr>
                <w:rFonts w:eastAsia="Times New Roman" w:cstheme="minorHAnsi"/>
                <w:b/>
                <w:bCs/>
                <w:noProof/>
                <w:webHidden/>
                <w:sz w:val="20"/>
                <w:szCs w:val="20"/>
                <w:lang w:val="sq-AL"/>
              </w:rPr>
              <w:fldChar w:fldCharType="begin"/>
            </w:r>
            <w:r w:rsidR="00221487" w:rsidRPr="00221487">
              <w:rPr>
                <w:rFonts w:eastAsia="Times New Roman" w:cstheme="minorHAnsi"/>
                <w:b/>
                <w:bCs/>
                <w:noProof/>
                <w:webHidden/>
                <w:sz w:val="20"/>
                <w:szCs w:val="20"/>
                <w:lang w:val="sq-AL"/>
              </w:rPr>
              <w:instrText xml:space="preserve"> PAGEREF _Toc3984457 \h </w:instrText>
            </w:r>
            <w:r w:rsidR="00221487" w:rsidRPr="00221487">
              <w:rPr>
                <w:rFonts w:eastAsia="Times New Roman" w:cstheme="minorHAnsi"/>
                <w:b/>
                <w:bCs/>
                <w:noProof/>
                <w:webHidden/>
                <w:sz w:val="20"/>
                <w:szCs w:val="20"/>
                <w:lang w:val="sq-AL"/>
              </w:rPr>
            </w:r>
            <w:r w:rsidR="00221487" w:rsidRPr="00221487">
              <w:rPr>
                <w:rFonts w:eastAsia="Times New Roman" w:cstheme="minorHAnsi"/>
                <w:b/>
                <w:bCs/>
                <w:noProof/>
                <w:webHidden/>
                <w:sz w:val="20"/>
                <w:szCs w:val="20"/>
                <w:lang w:val="sq-AL"/>
              </w:rPr>
              <w:fldChar w:fldCharType="separate"/>
            </w:r>
            <w:r w:rsidR="00221487" w:rsidRPr="00221487">
              <w:rPr>
                <w:rFonts w:eastAsia="Times New Roman" w:cstheme="minorHAnsi"/>
                <w:b/>
                <w:bCs/>
                <w:noProof/>
                <w:webHidden/>
                <w:sz w:val="20"/>
                <w:szCs w:val="20"/>
                <w:lang w:val="sq-AL"/>
              </w:rPr>
              <w:t>22</w:t>
            </w:r>
            <w:r w:rsidR="00221487" w:rsidRPr="00221487">
              <w:rPr>
                <w:rFonts w:eastAsia="Times New Roman" w:cstheme="minorHAnsi"/>
                <w:b/>
                <w:bCs/>
                <w:noProof/>
                <w:webHidden/>
                <w:sz w:val="20"/>
                <w:szCs w:val="20"/>
                <w:lang w:val="sq-AL"/>
              </w:rPr>
              <w:fldChar w:fldCharType="end"/>
            </w:r>
          </w:hyperlink>
        </w:p>
        <w:p w:rsidR="00221487" w:rsidRPr="00221487" w:rsidRDefault="006E7A35" w:rsidP="00221487">
          <w:pPr>
            <w:tabs>
              <w:tab w:val="left" w:pos="660"/>
              <w:tab w:val="right" w:pos="9800"/>
            </w:tabs>
            <w:spacing w:before="240" w:after="0" w:line="240" w:lineRule="auto"/>
            <w:rPr>
              <w:rFonts w:eastAsiaTheme="minorEastAsia"/>
              <w:noProof/>
              <w:lang w:val="sq-AL"/>
            </w:rPr>
          </w:pPr>
          <w:hyperlink w:anchor="_Toc3984462" w:history="1">
            <w:r w:rsidR="00221487" w:rsidRPr="00221487">
              <w:rPr>
                <w:rFonts w:eastAsia="Times New Roman" w:cstheme="minorHAnsi"/>
                <w:b/>
                <w:bCs/>
                <w:noProof/>
                <w:color w:val="0000FF"/>
                <w:sz w:val="20"/>
                <w:szCs w:val="20"/>
                <w:u w:val="single"/>
                <w:lang w:val="sq-AL"/>
              </w:rPr>
              <w:t>3.2.</w:t>
            </w:r>
            <w:r w:rsidR="00221487" w:rsidRPr="00221487">
              <w:rPr>
                <w:rFonts w:eastAsiaTheme="minorEastAsia"/>
                <w:noProof/>
                <w:lang w:val="sq-AL"/>
              </w:rPr>
              <w:tab/>
            </w:r>
            <w:r w:rsidR="00221487" w:rsidRPr="00221487">
              <w:rPr>
                <w:rFonts w:eastAsia="Times New Roman" w:cstheme="minorHAnsi"/>
                <w:b/>
                <w:bCs/>
                <w:noProof/>
                <w:color w:val="0000FF"/>
                <w:sz w:val="20"/>
                <w:szCs w:val="20"/>
                <w:u w:val="single"/>
                <w:lang w:val="sq-AL"/>
              </w:rPr>
              <w:t>Shtylla 2- Planifikim dhe buxhetim i mirë-integruar dhe efikas i shpenzimeve publike</w:t>
            </w:r>
            <w:r w:rsidR="00221487" w:rsidRPr="00221487">
              <w:rPr>
                <w:rFonts w:eastAsia="Times New Roman" w:cstheme="minorHAnsi"/>
                <w:b/>
                <w:bCs/>
                <w:noProof/>
                <w:webHidden/>
                <w:sz w:val="20"/>
                <w:szCs w:val="20"/>
                <w:lang w:val="sq-AL"/>
              </w:rPr>
              <w:tab/>
            </w:r>
            <w:r w:rsidR="00221487" w:rsidRPr="00221487">
              <w:rPr>
                <w:rFonts w:eastAsia="Times New Roman" w:cstheme="minorHAnsi"/>
                <w:b/>
                <w:bCs/>
                <w:noProof/>
                <w:webHidden/>
                <w:sz w:val="20"/>
                <w:szCs w:val="20"/>
                <w:lang w:val="sq-AL"/>
              </w:rPr>
              <w:fldChar w:fldCharType="begin"/>
            </w:r>
            <w:r w:rsidR="00221487" w:rsidRPr="00221487">
              <w:rPr>
                <w:rFonts w:eastAsia="Times New Roman" w:cstheme="minorHAnsi"/>
                <w:b/>
                <w:bCs/>
                <w:noProof/>
                <w:webHidden/>
                <w:sz w:val="20"/>
                <w:szCs w:val="20"/>
                <w:lang w:val="sq-AL"/>
              </w:rPr>
              <w:instrText xml:space="preserve"> PAGEREF _Toc3984462 \h </w:instrText>
            </w:r>
            <w:r w:rsidR="00221487" w:rsidRPr="00221487">
              <w:rPr>
                <w:rFonts w:eastAsia="Times New Roman" w:cstheme="minorHAnsi"/>
                <w:b/>
                <w:bCs/>
                <w:noProof/>
                <w:webHidden/>
                <w:sz w:val="20"/>
                <w:szCs w:val="20"/>
                <w:lang w:val="sq-AL"/>
              </w:rPr>
            </w:r>
            <w:r w:rsidR="00221487" w:rsidRPr="00221487">
              <w:rPr>
                <w:rFonts w:eastAsia="Times New Roman" w:cstheme="minorHAnsi"/>
                <w:b/>
                <w:bCs/>
                <w:noProof/>
                <w:webHidden/>
                <w:sz w:val="20"/>
                <w:szCs w:val="20"/>
                <w:lang w:val="sq-AL"/>
              </w:rPr>
              <w:fldChar w:fldCharType="separate"/>
            </w:r>
            <w:r w:rsidR="00221487" w:rsidRPr="00221487">
              <w:rPr>
                <w:rFonts w:eastAsia="Times New Roman" w:cstheme="minorHAnsi"/>
                <w:b/>
                <w:bCs/>
                <w:noProof/>
                <w:webHidden/>
                <w:sz w:val="20"/>
                <w:szCs w:val="20"/>
                <w:lang w:val="sq-AL"/>
              </w:rPr>
              <w:t>28</w:t>
            </w:r>
            <w:r w:rsidR="00221487" w:rsidRPr="00221487">
              <w:rPr>
                <w:rFonts w:eastAsia="Times New Roman" w:cstheme="minorHAnsi"/>
                <w:b/>
                <w:bCs/>
                <w:noProof/>
                <w:webHidden/>
                <w:sz w:val="20"/>
                <w:szCs w:val="20"/>
                <w:lang w:val="sq-AL"/>
              </w:rPr>
              <w:fldChar w:fldCharType="end"/>
            </w:r>
          </w:hyperlink>
        </w:p>
        <w:p w:rsidR="00221487" w:rsidRPr="00221487" w:rsidRDefault="006E7A35" w:rsidP="00221487">
          <w:pPr>
            <w:tabs>
              <w:tab w:val="left" w:pos="660"/>
              <w:tab w:val="right" w:pos="9800"/>
            </w:tabs>
            <w:spacing w:before="240" w:after="0" w:line="240" w:lineRule="auto"/>
            <w:rPr>
              <w:rFonts w:eastAsiaTheme="minorEastAsia"/>
              <w:noProof/>
              <w:lang w:val="sq-AL"/>
            </w:rPr>
          </w:pPr>
          <w:hyperlink w:anchor="_Toc3984470" w:history="1">
            <w:r w:rsidR="00221487" w:rsidRPr="00221487">
              <w:rPr>
                <w:rFonts w:eastAsia="Times New Roman" w:cstheme="minorHAnsi"/>
                <w:b/>
                <w:bCs/>
                <w:noProof/>
                <w:color w:val="0000FF"/>
                <w:sz w:val="20"/>
                <w:szCs w:val="20"/>
                <w:u w:val="single"/>
                <w:lang w:val="sq-AL"/>
              </w:rPr>
              <w:t>3.3.</w:t>
            </w:r>
            <w:r w:rsidR="00221487" w:rsidRPr="00221487">
              <w:rPr>
                <w:rFonts w:eastAsiaTheme="minorEastAsia"/>
                <w:noProof/>
                <w:lang w:val="sq-AL"/>
              </w:rPr>
              <w:tab/>
            </w:r>
            <w:r w:rsidR="00221487" w:rsidRPr="00221487">
              <w:rPr>
                <w:rFonts w:eastAsia="Times New Roman" w:cstheme="minorHAnsi"/>
                <w:b/>
                <w:bCs/>
                <w:noProof/>
                <w:color w:val="0000FF"/>
                <w:sz w:val="20"/>
                <w:szCs w:val="20"/>
                <w:u w:val="single"/>
                <w:lang w:val="sq-AL"/>
              </w:rPr>
              <w:t>Shtylla 3- Ekzekutimi efikas i buxhetit</w:t>
            </w:r>
            <w:r w:rsidR="00221487" w:rsidRPr="00221487">
              <w:rPr>
                <w:rFonts w:eastAsia="Times New Roman" w:cstheme="minorHAnsi"/>
                <w:b/>
                <w:bCs/>
                <w:noProof/>
                <w:webHidden/>
                <w:sz w:val="20"/>
                <w:szCs w:val="20"/>
                <w:lang w:val="sq-AL"/>
              </w:rPr>
              <w:tab/>
            </w:r>
            <w:r w:rsidR="00221487" w:rsidRPr="00221487">
              <w:rPr>
                <w:rFonts w:eastAsia="Times New Roman" w:cstheme="minorHAnsi"/>
                <w:b/>
                <w:bCs/>
                <w:noProof/>
                <w:webHidden/>
                <w:sz w:val="20"/>
                <w:szCs w:val="20"/>
                <w:lang w:val="sq-AL"/>
              </w:rPr>
              <w:fldChar w:fldCharType="begin"/>
            </w:r>
            <w:r w:rsidR="00221487" w:rsidRPr="00221487">
              <w:rPr>
                <w:rFonts w:eastAsia="Times New Roman" w:cstheme="minorHAnsi"/>
                <w:b/>
                <w:bCs/>
                <w:noProof/>
                <w:webHidden/>
                <w:sz w:val="20"/>
                <w:szCs w:val="20"/>
                <w:lang w:val="sq-AL"/>
              </w:rPr>
              <w:instrText xml:space="preserve"> PAGEREF _Toc3984470 \h </w:instrText>
            </w:r>
            <w:r w:rsidR="00221487" w:rsidRPr="00221487">
              <w:rPr>
                <w:rFonts w:eastAsia="Times New Roman" w:cstheme="minorHAnsi"/>
                <w:b/>
                <w:bCs/>
                <w:noProof/>
                <w:webHidden/>
                <w:sz w:val="20"/>
                <w:szCs w:val="20"/>
                <w:lang w:val="sq-AL"/>
              </w:rPr>
            </w:r>
            <w:r w:rsidR="00221487" w:rsidRPr="00221487">
              <w:rPr>
                <w:rFonts w:eastAsia="Times New Roman" w:cstheme="minorHAnsi"/>
                <w:b/>
                <w:bCs/>
                <w:noProof/>
                <w:webHidden/>
                <w:sz w:val="20"/>
                <w:szCs w:val="20"/>
                <w:lang w:val="sq-AL"/>
              </w:rPr>
              <w:fldChar w:fldCharType="separate"/>
            </w:r>
            <w:r w:rsidR="00221487" w:rsidRPr="00221487">
              <w:rPr>
                <w:rFonts w:eastAsia="Times New Roman" w:cstheme="minorHAnsi"/>
                <w:b/>
                <w:bCs/>
                <w:noProof/>
                <w:webHidden/>
                <w:sz w:val="20"/>
                <w:szCs w:val="20"/>
                <w:lang w:val="sq-AL"/>
              </w:rPr>
              <w:t>41</w:t>
            </w:r>
            <w:r w:rsidR="00221487" w:rsidRPr="00221487">
              <w:rPr>
                <w:rFonts w:eastAsia="Times New Roman" w:cstheme="minorHAnsi"/>
                <w:b/>
                <w:bCs/>
                <w:noProof/>
                <w:webHidden/>
                <w:sz w:val="20"/>
                <w:szCs w:val="20"/>
                <w:lang w:val="sq-AL"/>
              </w:rPr>
              <w:fldChar w:fldCharType="end"/>
            </w:r>
          </w:hyperlink>
        </w:p>
        <w:p w:rsidR="00221487" w:rsidRPr="00221487" w:rsidRDefault="006E7A35" w:rsidP="00221487">
          <w:pPr>
            <w:tabs>
              <w:tab w:val="left" w:pos="660"/>
              <w:tab w:val="right" w:pos="9800"/>
            </w:tabs>
            <w:spacing w:before="240" w:after="0" w:line="240" w:lineRule="auto"/>
            <w:rPr>
              <w:rFonts w:eastAsiaTheme="minorEastAsia"/>
              <w:noProof/>
              <w:lang w:val="sq-AL"/>
            </w:rPr>
          </w:pPr>
          <w:hyperlink w:anchor="_Toc3984479" w:history="1">
            <w:r w:rsidR="00221487" w:rsidRPr="00221487">
              <w:rPr>
                <w:rFonts w:eastAsia="Times New Roman" w:cstheme="minorHAnsi"/>
                <w:b/>
                <w:bCs/>
                <w:noProof/>
                <w:color w:val="0000FF"/>
                <w:sz w:val="20"/>
                <w:szCs w:val="20"/>
                <w:u w:val="single"/>
                <w:lang w:val="sq-AL"/>
              </w:rPr>
              <w:t>3.4.</w:t>
            </w:r>
            <w:r w:rsidR="00221487" w:rsidRPr="00221487">
              <w:rPr>
                <w:rFonts w:eastAsiaTheme="minorEastAsia"/>
                <w:noProof/>
                <w:lang w:val="sq-AL"/>
              </w:rPr>
              <w:tab/>
            </w:r>
            <w:r w:rsidR="00221487" w:rsidRPr="00221487">
              <w:rPr>
                <w:rFonts w:eastAsia="Times New Roman" w:cstheme="minorHAnsi"/>
                <w:b/>
                <w:bCs/>
                <w:noProof/>
                <w:color w:val="0000FF"/>
                <w:sz w:val="20"/>
                <w:szCs w:val="20"/>
                <w:u w:val="single"/>
                <w:lang w:val="sq-AL"/>
              </w:rPr>
              <w:t>Shtylla 4- Raportimi qeveritar transparent</w:t>
            </w:r>
            <w:r w:rsidR="00221487" w:rsidRPr="00221487">
              <w:rPr>
                <w:rFonts w:eastAsia="Times New Roman" w:cstheme="minorHAnsi"/>
                <w:b/>
                <w:bCs/>
                <w:noProof/>
                <w:webHidden/>
                <w:sz w:val="20"/>
                <w:szCs w:val="20"/>
                <w:lang w:val="sq-AL"/>
              </w:rPr>
              <w:tab/>
            </w:r>
            <w:r w:rsidR="00221487" w:rsidRPr="00221487">
              <w:rPr>
                <w:rFonts w:eastAsia="Times New Roman" w:cstheme="minorHAnsi"/>
                <w:b/>
                <w:bCs/>
                <w:noProof/>
                <w:webHidden/>
                <w:sz w:val="20"/>
                <w:szCs w:val="20"/>
                <w:lang w:val="sq-AL"/>
              </w:rPr>
              <w:fldChar w:fldCharType="begin"/>
            </w:r>
            <w:r w:rsidR="00221487" w:rsidRPr="00221487">
              <w:rPr>
                <w:rFonts w:eastAsia="Times New Roman" w:cstheme="minorHAnsi"/>
                <w:b/>
                <w:bCs/>
                <w:noProof/>
                <w:webHidden/>
                <w:sz w:val="20"/>
                <w:szCs w:val="20"/>
                <w:lang w:val="sq-AL"/>
              </w:rPr>
              <w:instrText xml:space="preserve"> PAGEREF _Toc3984479 \h </w:instrText>
            </w:r>
            <w:r w:rsidR="00221487" w:rsidRPr="00221487">
              <w:rPr>
                <w:rFonts w:eastAsia="Times New Roman" w:cstheme="minorHAnsi"/>
                <w:b/>
                <w:bCs/>
                <w:noProof/>
                <w:webHidden/>
                <w:sz w:val="20"/>
                <w:szCs w:val="20"/>
                <w:lang w:val="sq-AL"/>
              </w:rPr>
            </w:r>
            <w:r w:rsidR="00221487" w:rsidRPr="00221487">
              <w:rPr>
                <w:rFonts w:eastAsia="Times New Roman" w:cstheme="minorHAnsi"/>
                <w:b/>
                <w:bCs/>
                <w:noProof/>
                <w:webHidden/>
                <w:sz w:val="20"/>
                <w:szCs w:val="20"/>
                <w:lang w:val="sq-AL"/>
              </w:rPr>
              <w:fldChar w:fldCharType="separate"/>
            </w:r>
            <w:r w:rsidR="00221487" w:rsidRPr="00221487">
              <w:rPr>
                <w:rFonts w:eastAsia="Times New Roman" w:cstheme="minorHAnsi"/>
                <w:b/>
                <w:bCs/>
                <w:noProof/>
                <w:webHidden/>
                <w:sz w:val="20"/>
                <w:szCs w:val="20"/>
                <w:lang w:val="sq-AL"/>
              </w:rPr>
              <w:t>55</w:t>
            </w:r>
            <w:r w:rsidR="00221487" w:rsidRPr="00221487">
              <w:rPr>
                <w:rFonts w:eastAsia="Times New Roman" w:cstheme="minorHAnsi"/>
                <w:b/>
                <w:bCs/>
                <w:noProof/>
                <w:webHidden/>
                <w:sz w:val="20"/>
                <w:szCs w:val="20"/>
                <w:lang w:val="sq-AL"/>
              </w:rPr>
              <w:fldChar w:fldCharType="end"/>
            </w:r>
          </w:hyperlink>
        </w:p>
        <w:p w:rsidR="00221487" w:rsidRPr="00221487" w:rsidRDefault="006E7A35" w:rsidP="00221487">
          <w:pPr>
            <w:tabs>
              <w:tab w:val="right" w:pos="9800"/>
            </w:tabs>
            <w:spacing w:before="240" w:after="0" w:line="240" w:lineRule="auto"/>
            <w:rPr>
              <w:rFonts w:eastAsiaTheme="minorEastAsia"/>
              <w:noProof/>
              <w:lang w:val="sq-AL"/>
            </w:rPr>
          </w:pPr>
          <w:hyperlink w:anchor="_Toc3984490" w:history="1">
            <w:r w:rsidR="00221487" w:rsidRPr="00221487">
              <w:rPr>
                <w:rFonts w:eastAsia="Times New Roman" w:cstheme="minorHAnsi"/>
                <w:b/>
                <w:bCs/>
                <w:noProof/>
                <w:color w:val="0000FF"/>
                <w:sz w:val="20"/>
                <w:szCs w:val="20"/>
                <w:u w:val="single"/>
                <w:lang w:val="sq-AL"/>
              </w:rPr>
              <w:t>3.5.</w:t>
            </w:r>
            <w:r w:rsidR="00221487" w:rsidRPr="00221487">
              <w:rPr>
                <w:rFonts w:ascii="Arial" w:eastAsia="Arial" w:hAnsi="Arial" w:cs="Arial"/>
                <w:b/>
                <w:bCs/>
                <w:noProof/>
                <w:color w:val="0000FF"/>
                <w:sz w:val="20"/>
                <w:szCs w:val="20"/>
                <w:u w:val="single"/>
                <w:lang w:val="sq-AL"/>
              </w:rPr>
              <w:t xml:space="preserve">      </w:t>
            </w:r>
            <w:r w:rsidR="00221487" w:rsidRPr="00221487">
              <w:rPr>
                <w:rFonts w:eastAsia="Times New Roman" w:cstheme="minorHAnsi"/>
                <w:b/>
                <w:bCs/>
                <w:noProof/>
                <w:color w:val="0000FF"/>
                <w:sz w:val="20"/>
                <w:szCs w:val="20"/>
                <w:u w:val="single"/>
                <w:lang w:val="sq-AL"/>
              </w:rPr>
              <w:t>Shtylla 5- Kontrolli i brendshëm efektiv</w:t>
            </w:r>
            <w:r w:rsidR="00221487" w:rsidRPr="00221487">
              <w:rPr>
                <w:rFonts w:eastAsia="Times New Roman" w:cstheme="minorHAnsi"/>
                <w:b/>
                <w:bCs/>
                <w:noProof/>
                <w:webHidden/>
                <w:sz w:val="20"/>
                <w:szCs w:val="20"/>
                <w:lang w:val="sq-AL"/>
              </w:rPr>
              <w:tab/>
            </w:r>
            <w:r w:rsidR="00221487" w:rsidRPr="00221487">
              <w:rPr>
                <w:rFonts w:eastAsia="Times New Roman" w:cstheme="minorHAnsi"/>
                <w:b/>
                <w:bCs/>
                <w:noProof/>
                <w:webHidden/>
                <w:sz w:val="20"/>
                <w:szCs w:val="20"/>
                <w:lang w:val="sq-AL"/>
              </w:rPr>
              <w:fldChar w:fldCharType="begin"/>
            </w:r>
            <w:r w:rsidR="00221487" w:rsidRPr="00221487">
              <w:rPr>
                <w:rFonts w:eastAsia="Times New Roman" w:cstheme="minorHAnsi"/>
                <w:b/>
                <w:bCs/>
                <w:noProof/>
                <w:webHidden/>
                <w:sz w:val="20"/>
                <w:szCs w:val="20"/>
                <w:lang w:val="sq-AL"/>
              </w:rPr>
              <w:instrText xml:space="preserve"> PAGEREF _Toc3984490 \h </w:instrText>
            </w:r>
            <w:r w:rsidR="00221487" w:rsidRPr="00221487">
              <w:rPr>
                <w:rFonts w:eastAsia="Times New Roman" w:cstheme="minorHAnsi"/>
                <w:b/>
                <w:bCs/>
                <w:noProof/>
                <w:webHidden/>
                <w:sz w:val="20"/>
                <w:szCs w:val="20"/>
                <w:lang w:val="sq-AL"/>
              </w:rPr>
            </w:r>
            <w:r w:rsidR="00221487" w:rsidRPr="00221487">
              <w:rPr>
                <w:rFonts w:eastAsia="Times New Roman" w:cstheme="minorHAnsi"/>
                <w:b/>
                <w:bCs/>
                <w:noProof/>
                <w:webHidden/>
                <w:sz w:val="20"/>
                <w:szCs w:val="20"/>
                <w:lang w:val="sq-AL"/>
              </w:rPr>
              <w:fldChar w:fldCharType="separate"/>
            </w:r>
            <w:r w:rsidR="00221487" w:rsidRPr="00221487">
              <w:rPr>
                <w:rFonts w:eastAsia="Times New Roman" w:cstheme="minorHAnsi"/>
                <w:b/>
                <w:bCs/>
                <w:noProof/>
                <w:webHidden/>
                <w:sz w:val="20"/>
                <w:szCs w:val="20"/>
                <w:lang w:val="sq-AL"/>
              </w:rPr>
              <w:t>61</w:t>
            </w:r>
            <w:r w:rsidR="00221487" w:rsidRPr="00221487">
              <w:rPr>
                <w:rFonts w:eastAsia="Times New Roman" w:cstheme="minorHAnsi"/>
                <w:b/>
                <w:bCs/>
                <w:noProof/>
                <w:webHidden/>
                <w:sz w:val="20"/>
                <w:szCs w:val="20"/>
                <w:lang w:val="sq-AL"/>
              </w:rPr>
              <w:fldChar w:fldCharType="end"/>
            </w:r>
          </w:hyperlink>
        </w:p>
        <w:p w:rsidR="00221487" w:rsidRPr="00221487" w:rsidRDefault="006E7A35" w:rsidP="00221487">
          <w:pPr>
            <w:tabs>
              <w:tab w:val="right" w:pos="9800"/>
            </w:tabs>
            <w:spacing w:before="240" w:after="0" w:line="240" w:lineRule="auto"/>
            <w:rPr>
              <w:rFonts w:eastAsiaTheme="minorEastAsia"/>
              <w:noProof/>
              <w:lang w:val="sq-AL"/>
            </w:rPr>
          </w:pPr>
          <w:hyperlink w:anchor="_Toc3984491" w:history="1">
            <w:r w:rsidR="00221487" w:rsidRPr="00221487">
              <w:rPr>
                <w:rFonts w:eastAsia="Times New Roman" w:cstheme="minorHAnsi"/>
                <w:b/>
                <w:bCs/>
                <w:noProof/>
                <w:color w:val="0000FF"/>
                <w:sz w:val="20"/>
                <w:szCs w:val="20"/>
                <w:u w:val="single"/>
                <w:lang w:val="sq-AL"/>
              </w:rPr>
              <w:t>3.6.</w:t>
            </w:r>
            <w:r w:rsidR="00221487" w:rsidRPr="00221487">
              <w:rPr>
                <w:rFonts w:ascii="Arial" w:eastAsia="Arial" w:hAnsi="Arial" w:cs="Arial"/>
                <w:b/>
                <w:bCs/>
                <w:noProof/>
                <w:color w:val="0000FF"/>
                <w:sz w:val="20"/>
                <w:szCs w:val="20"/>
                <w:u w:val="single"/>
                <w:lang w:val="sq-AL"/>
              </w:rPr>
              <w:t xml:space="preserve">      </w:t>
            </w:r>
            <w:r w:rsidR="00221487" w:rsidRPr="00221487">
              <w:rPr>
                <w:rFonts w:eastAsia="Times New Roman" w:cstheme="minorHAnsi"/>
                <w:b/>
                <w:bCs/>
                <w:noProof/>
                <w:color w:val="0000FF"/>
                <w:sz w:val="20"/>
                <w:szCs w:val="20"/>
                <w:u w:val="single"/>
                <w:lang w:val="sq-AL"/>
              </w:rPr>
              <w:t>Shtylla 6- Mbikëqyrja efektive e financave publike</w:t>
            </w:r>
            <w:r w:rsidR="00221487" w:rsidRPr="00221487">
              <w:rPr>
                <w:rFonts w:eastAsia="Times New Roman" w:cstheme="minorHAnsi"/>
                <w:b/>
                <w:bCs/>
                <w:noProof/>
                <w:webHidden/>
                <w:sz w:val="20"/>
                <w:szCs w:val="20"/>
                <w:lang w:val="sq-AL"/>
              </w:rPr>
              <w:tab/>
            </w:r>
            <w:r w:rsidR="00221487" w:rsidRPr="00221487">
              <w:rPr>
                <w:rFonts w:eastAsia="Times New Roman" w:cstheme="minorHAnsi"/>
                <w:b/>
                <w:bCs/>
                <w:noProof/>
                <w:webHidden/>
                <w:sz w:val="20"/>
                <w:szCs w:val="20"/>
                <w:lang w:val="sq-AL"/>
              </w:rPr>
              <w:fldChar w:fldCharType="begin"/>
            </w:r>
            <w:r w:rsidR="00221487" w:rsidRPr="00221487">
              <w:rPr>
                <w:rFonts w:eastAsia="Times New Roman" w:cstheme="minorHAnsi"/>
                <w:b/>
                <w:bCs/>
                <w:noProof/>
                <w:webHidden/>
                <w:sz w:val="20"/>
                <w:szCs w:val="20"/>
                <w:lang w:val="sq-AL"/>
              </w:rPr>
              <w:instrText xml:space="preserve"> PAGEREF _Toc3984491 \h </w:instrText>
            </w:r>
            <w:r w:rsidR="00221487" w:rsidRPr="00221487">
              <w:rPr>
                <w:rFonts w:eastAsia="Times New Roman" w:cstheme="minorHAnsi"/>
                <w:b/>
                <w:bCs/>
                <w:noProof/>
                <w:webHidden/>
                <w:sz w:val="20"/>
                <w:szCs w:val="20"/>
                <w:lang w:val="sq-AL"/>
              </w:rPr>
            </w:r>
            <w:r w:rsidR="00221487" w:rsidRPr="00221487">
              <w:rPr>
                <w:rFonts w:eastAsia="Times New Roman" w:cstheme="minorHAnsi"/>
                <w:b/>
                <w:bCs/>
                <w:noProof/>
                <w:webHidden/>
                <w:sz w:val="20"/>
                <w:szCs w:val="20"/>
                <w:lang w:val="sq-AL"/>
              </w:rPr>
              <w:fldChar w:fldCharType="separate"/>
            </w:r>
            <w:r w:rsidR="00221487" w:rsidRPr="00221487">
              <w:rPr>
                <w:rFonts w:eastAsia="Times New Roman" w:cstheme="minorHAnsi"/>
                <w:b/>
                <w:bCs/>
                <w:noProof/>
                <w:webHidden/>
                <w:sz w:val="20"/>
                <w:szCs w:val="20"/>
                <w:lang w:val="sq-AL"/>
              </w:rPr>
              <w:t>67</w:t>
            </w:r>
            <w:r w:rsidR="00221487" w:rsidRPr="00221487">
              <w:rPr>
                <w:rFonts w:eastAsia="Times New Roman" w:cstheme="minorHAnsi"/>
                <w:b/>
                <w:bCs/>
                <w:noProof/>
                <w:webHidden/>
                <w:sz w:val="20"/>
                <w:szCs w:val="20"/>
                <w:lang w:val="sq-AL"/>
              </w:rPr>
              <w:fldChar w:fldCharType="end"/>
            </w:r>
          </w:hyperlink>
        </w:p>
        <w:p w:rsidR="00221487" w:rsidRPr="00221487" w:rsidRDefault="006E7A35" w:rsidP="00221487">
          <w:pPr>
            <w:tabs>
              <w:tab w:val="left" w:pos="440"/>
              <w:tab w:val="right" w:pos="9620"/>
            </w:tabs>
            <w:spacing w:before="360" w:after="0" w:line="240" w:lineRule="auto"/>
            <w:rPr>
              <w:rFonts w:eastAsiaTheme="minorEastAsia"/>
              <w:noProof/>
              <w:lang w:val="sq-AL"/>
            </w:rPr>
          </w:pPr>
          <w:hyperlink w:anchor="_Toc3984492" w:history="1">
            <w:r w:rsidR="00221487" w:rsidRPr="00221487">
              <w:rPr>
                <w:rFonts w:asciiTheme="majorHAnsi" w:eastAsia="Times New Roman" w:hAnsiTheme="majorHAnsi" w:cs="Times New Roman"/>
                <w:b/>
                <w:bCs/>
                <w:caps/>
                <w:noProof/>
                <w:color w:val="0000FF"/>
                <w:sz w:val="24"/>
                <w:szCs w:val="24"/>
                <w:u w:val="single"/>
                <w:lang w:val="sq-AL"/>
              </w:rPr>
              <w:t>ANEKSET</w:t>
            </w:r>
            <w:r w:rsidR="00221487" w:rsidRPr="00221487">
              <w:rPr>
                <w:rFonts w:asciiTheme="majorHAnsi" w:eastAsia="Times New Roman" w:hAnsiTheme="majorHAnsi" w:cs="Times New Roman"/>
                <w:b/>
                <w:bCs/>
                <w:caps/>
                <w:noProof/>
                <w:webHidden/>
                <w:sz w:val="24"/>
                <w:szCs w:val="24"/>
                <w:lang w:val="sq-AL"/>
              </w:rPr>
              <w:tab/>
            </w:r>
            <w:r w:rsidR="00221487" w:rsidRPr="00221487">
              <w:rPr>
                <w:rFonts w:asciiTheme="majorHAnsi" w:eastAsia="Times New Roman" w:hAnsiTheme="majorHAnsi" w:cs="Times New Roman"/>
                <w:b/>
                <w:bCs/>
                <w:caps/>
                <w:noProof/>
                <w:webHidden/>
                <w:sz w:val="24"/>
                <w:szCs w:val="24"/>
                <w:lang w:val="sq-AL"/>
              </w:rPr>
              <w:fldChar w:fldCharType="begin"/>
            </w:r>
            <w:r w:rsidR="00221487" w:rsidRPr="00221487">
              <w:rPr>
                <w:rFonts w:asciiTheme="majorHAnsi" w:eastAsia="Times New Roman" w:hAnsiTheme="majorHAnsi" w:cs="Times New Roman"/>
                <w:b/>
                <w:bCs/>
                <w:caps/>
                <w:noProof/>
                <w:webHidden/>
                <w:sz w:val="24"/>
                <w:szCs w:val="24"/>
                <w:lang w:val="sq-AL"/>
              </w:rPr>
              <w:instrText xml:space="preserve"> PAGEREF _Toc3984492 \h </w:instrText>
            </w:r>
            <w:r w:rsidR="00221487" w:rsidRPr="00221487">
              <w:rPr>
                <w:rFonts w:asciiTheme="majorHAnsi" w:eastAsia="Times New Roman" w:hAnsiTheme="majorHAnsi" w:cs="Times New Roman"/>
                <w:b/>
                <w:bCs/>
                <w:caps/>
                <w:noProof/>
                <w:webHidden/>
                <w:sz w:val="24"/>
                <w:szCs w:val="24"/>
                <w:lang w:val="sq-AL"/>
              </w:rPr>
            </w:r>
            <w:r w:rsidR="00221487" w:rsidRPr="00221487">
              <w:rPr>
                <w:rFonts w:asciiTheme="majorHAnsi" w:eastAsia="Times New Roman" w:hAnsiTheme="majorHAnsi" w:cs="Times New Roman"/>
                <w:b/>
                <w:bCs/>
                <w:caps/>
                <w:noProof/>
                <w:webHidden/>
                <w:sz w:val="24"/>
                <w:szCs w:val="24"/>
                <w:lang w:val="sq-AL"/>
              </w:rPr>
              <w:fldChar w:fldCharType="separate"/>
            </w:r>
            <w:r w:rsidR="00221487" w:rsidRPr="00221487">
              <w:rPr>
                <w:rFonts w:asciiTheme="majorHAnsi" w:eastAsia="Times New Roman" w:hAnsiTheme="majorHAnsi" w:cs="Times New Roman"/>
                <w:b/>
                <w:bCs/>
                <w:caps/>
                <w:noProof/>
                <w:webHidden/>
                <w:sz w:val="24"/>
                <w:szCs w:val="24"/>
                <w:lang w:val="sq-AL"/>
              </w:rPr>
              <w:t>74</w:t>
            </w:r>
            <w:r w:rsidR="00221487" w:rsidRPr="00221487">
              <w:rPr>
                <w:rFonts w:asciiTheme="majorHAnsi" w:eastAsia="Times New Roman" w:hAnsiTheme="majorHAnsi" w:cs="Times New Roman"/>
                <w:b/>
                <w:bCs/>
                <w:caps/>
                <w:noProof/>
                <w:webHidden/>
                <w:sz w:val="24"/>
                <w:szCs w:val="24"/>
                <w:lang w:val="sq-AL"/>
              </w:rPr>
              <w:fldChar w:fldCharType="end"/>
            </w:r>
          </w:hyperlink>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b/>
              <w:bCs/>
              <w:noProof/>
              <w:lang w:val="sq-AL"/>
            </w:rPr>
            <w:fldChar w:fldCharType="end"/>
          </w:r>
        </w:p>
      </w:sdtContent>
    </w:sdt>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7C6F79">
      <w:pPr>
        <w:keepNext/>
        <w:numPr>
          <w:ilvl w:val="0"/>
          <w:numId w:val="24"/>
        </w:numPr>
        <w:spacing w:after="0" w:line="240" w:lineRule="auto"/>
        <w:jc w:val="both"/>
        <w:outlineLvl w:val="0"/>
        <w:rPr>
          <w:rFonts w:ascii="Times New Roman Bold" w:eastAsia="Times" w:hAnsi="Times New Roman Bold" w:cs="Times New Roman"/>
          <w:b/>
          <w:bCs/>
          <w:noProof/>
          <w:color w:val="632423" w:themeColor="accent2" w:themeShade="80"/>
          <w:lang w:val="sq-AL"/>
        </w:rPr>
      </w:pPr>
      <w:bookmarkStart w:id="9" w:name="_Toc511836590"/>
      <w:bookmarkStart w:id="10" w:name="_Toc3984444"/>
      <w:r w:rsidRPr="00221487">
        <w:rPr>
          <w:rFonts w:ascii="Times New Roman Bold" w:eastAsia="Times" w:hAnsi="Times New Roman Bold" w:cs="Times New Roman"/>
          <w:b/>
          <w:bCs/>
          <w:noProof/>
          <w:color w:val="632423" w:themeColor="accent2" w:themeShade="80"/>
          <w:lang w:val="sq-AL"/>
        </w:rPr>
        <w:t>HYRJA DHE KONTEKSTI</w:t>
      </w:r>
      <w:bookmarkEnd w:id="9"/>
      <w:bookmarkEnd w:id="10"/>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keepNext/>
        <w:numPr>
          <w:ilvl w:val="1"/>
          <w:numId w:val="0"/>
        </w:numPr>
        <w:spacing w:after="0" w:line="240" w:lineRule="auto"/>
        <w:ind w:left="420" w:hanging="420"/>
        <w:jc w:val="both"/>
        <w:outlineLvl w:val="1"/>
        <w:rPr>
          <w:rFonts w:ascii="Times New Roman" w:eastAsia="Times" w:hAnsi="Times New Roman" w:cs="Times New Roman"/>
          <w:b/>
          <w:bCs/>
          <w:noProof/>
          <w:lang w:val="sq-AL"/>
        </w:rPr>
      </w:pPr>
      <w:bookmarkStart w:id="11" w:name="_Toc511836591"/>
      <w:bookmarkStart w:id="12" w:name="_Toc3984445"/>
      <w:r w:rsidRPr="00221487">
        <w:rPr>
          <w:rFonts w:ascii="Times New Roman" w:eastAsia="Times" w:hAnsi="Times New Roman" w:cs="Times New Roman"/>
          <w:b/>
          <w:bCs/>
          <w:noProof/>
          <w:lang w:val="sq-AL"/>
        </w:rPr>
        <w:t>Hyrja</w:t>
      </w:r>
      <w:bookmarkEnd w:id="11"/>
      <w:bookmarkEnd w:id="12"/>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Ky është Raporti i katërt Vjetor i Monitorimit të Menaxhimit të Financave Publike (MFP) për Shqipërinë dhe mbulon periudhën prej 1 janarit 2018 deri më 31 dhjetor 2018. Përfshin një vit të përpjekjeve për reforma dhe jep informacion të hollësishëm për Komitetin Drejtues dhe atë Teknik të MFP-së mbi progresin e arritur dhe sfidat në përmbushjen e objektivave dhe masave të Strategjisë.</w:t>
      </w:r>
    </w:p>
    <w:p w:rsidR="00221487" w:rsidRPr="00221487" w:rsidRDefault="00221487" w:rsidP="00221487">
      <w:pPr>
        <w:spacing w:after="0" w:line="240" w:lineRule="auto"/>
        <w:jc w:val="both"/>
        <w:rPr>
          <w:rFonts w:ascii="Times New Roman" w:eastAsia="Times" w:hAnsi="Times New Roman" w:cs="Times New Roman"/>
          <w:noProof/>
          <w:lang w:val="sq-AL"/>
        </w:rPr>
      </w:pPr>
    </w:p>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 xml:space="preserve">Gjatë vitit 2018, Qeveria e Shqipërisë (QSH) ka vazhduar të forcojë kapacitetet e saj për të përmbushur objektivat e përcaktuara në Strategjinë e MFP-së. Janë ndjekur disa reforma, me fokus kryesor përmirësimin e performancës bazuar në kuadrin e menaxhimit të financave publike. Performanca matet në lidhje me dy grupe treguesish performance: 'të përgjithshme' dhe 'specifike'. Këta tregues janë përcaktuar në "Pasaportën e Treguesve", të miratuar në tetor të vitit 2016 dhe për ta raportohet duke e marrë atë si bazë për herë të parë në Raportin Vjetor të Monitorimit 2016. Performanca është vlerësuar kundrejt objektivave specifikë për vitin 2018 dhe prandaj matja e këtij viti paraqet një vështrim më kompleks. Kështu, matja e këtij viti paraqet një pasqyrë të bazuar në analizën e tendencave. </w:t>
      </w: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keepNext/>
        <w:numPr>
          <w:ilvl w:val="1"/>
          <w:numId w:val="0"/>
        </w:numPr>
        <w:spacing w:after="0" w:line="240" w:lineRule="auto"/>
        <w:ind w:left="420" w:hanging="420"/>
        <w:jc w:val="both"/>
        <w:outlineLvl w:val="1"/>
        <w:rPr>
          <w:rFonts w:ascii="Times New Roman" w:eastAsia="Times" w:hAnsi="Times New Roman" w:cs="Times New Roman"/>
          <w:b/>
          <w:bCs/>
          <w:noProof/>
          <w:lang w:val="sq-AL"/>
        </w:rPr>
      </w:pPr>
      <w:bookmarkStart w:id="13" w:name="_Toc3984446"/>
      <w:r w:rsidRPr="00221487">
        <w:rPr>
          <w:rFonts w:ascii="Times New Roman" w:eastAsia="Times" w:hAnsi="Times New Roman" w:cs="Times New Roman"/>
          <w:b/>
          <w:bCs/>
          <w:noProof/>
          <w:lang w:val="sq-AL"/>
        </w:rPr>
        <w:t>Progresi fiskal në vitin 2018</w:t>
      </w:r>
      <w:bookmarkEnd w:id="13"/>
      <w:r w:rsidRPr="00221487">
        <w:rPr>
          <w:rFonts w:ascii="Times New Roman" w:eastAsia="Times" w:hAnsi="Times New Roman" w:cs="Times New Roman"/>
          <w:b/>
          <w:bCs/>
          <w:noProof/>
          <w:lang w:val="sq-AL"/>
        </w:rPr>
        <w:t xml:space="preserve"> </w:t>
      </w:r>
    </w:p>
    <w:p w:rsidR="00221487" w:rsidRPr="00221487" w:rsidRDefault="00221487" w:rsidP="00221487">
      <w:pPr>
        <w:spacing w:after="120" w:line="240" w:lineRule="auto"/>
        <w:jc w:val="both"/>
        <w:rPr>
          <w:rFonts w:ascii="Times New Roman" w:eastAsia="Times" w:hAnsi="Times New Roman" w:cs="Times New Roman"/>
          <w:noProof/>
          <w:lang w:val="sq-AL"/>
        </w:rPr>
      </w:pPr>
    </w:p>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Ekzistojnë masa të shumta sasiore që tregojnë përpjekjet e vazhdueshme për reformat deri tani dhe sfidat e rëndësishme me të cilat përballet qeveria. Tabelat e mëposhtme ofrojnë një vlerësim përmbledhës të performancës fiskale të qeverisë gjatë katër viteve të fundit.</w:t>
      </w:r>
    </w:p>
    <w:p w:rsidR="00221487" w:rsidRPr="00221487" w:rsidRDefault="00221487" w:rsidP="00221487">
      <w:pPr>
        <w:spacing w:after="120" w:line="240" w:lineRule="auto"/>
        <w:jc w:val="both"/>
        <w:rPr>
          <w:rFonts w:ascii="Times New Roman" w:eastAsia="Times" w:hAnsi="Times New Roman" w:cs="Times New Roman"/>
          <w:noProof/>
          <w:lang w:val="sq-AL"/>
        </w:rPr>
      </w:pPr>
    </w:p>
    <w:p w:rsidR="00221487" w:rsidRPr="00221487" w:rsidRDefault="00221487" w:rsidP="00221487">
      <w:pPr>
        <w:spacing w:after="120" w:line="240" w:lineRule="auto"/>
        <w:jc w:val="both"/>
        <w:rPr>
          <w:rFonts w:ascii="Times New Roman" w:eastAsia="Times" w:hAnsi="Times New Roman" w:cs="Times New Roman"/>
          <w:b/>
          <w:i/>
          <w:noProof/>
          <w:lang w:val="sq-AL"/>
        </w:rPr>
      </w:pPr>
      <w:r w:rsidRPr="00221487">
        <w:rPr>
          <w:rFonts w:ascii="Times New Roman" w:eastAsia="Times" w:hAnsi="Times New Roman" w:cs="Times New Roman"/>
          <w:b/>
          <w:i/>
          <w:noProof/>
          <w:lang w:val="sq-AL"/>
        </w:rPr>
        <w:t xml:space="preserve">Tabela nr.1: Rezultati i Operacioneve Buxhetore të Qeverisë Qendrore </w:t>
      </w:r>
      <w:r w:rsidRPr="00221487">
        <w:rPr>
          <w:rFonts w:ascii="Times New Roman" w:eastAsia="Times New Roman" w:hAnsi="Times New Roman" w:cs="Times New Roman"/>
          <w:noProof/>
          <w:lang w:val="sq-AL" w:eastAsia="en-GB"/>
        </w:rPr>
        <w:fldChar w:fldCharType="begin"/>
      </w:r>
      <w:r w:rsidRPr="00221487">
        <w:rPr>
          <w:rFonts w:ascii="Times New Roman" w:eastAsia="Times New Roman" w:hAnsi="Times New Roman" w:cs="Times New Roman"/>
          <w:noProof/>
          <w:lang w:val="sq-AL" w:eastAsia="en-GB"/>
        </w:rPr>
        <w:instrText xml:space="preserve"> LINK Excel.Sheet.12 Book1 Sheet1!R8C3:R12C11 \a \f 4 \h  \* MERGEFORMAT </w:instrText>
      </w:r>
      <w:r w:rsidRPr="00221487">
        <w:rPr>
          <w:rFonts w:ascii="Times New Roman" w:eastAsia="Times New Roman" w:hAnsi="Times New Roman" w:cs="Times New Roman"/>
          <w:noProof/>
          <w:lang w:val="sq-AL" w:eastAsia="en-GB"/>
        </w:rPr>
        <w:fldChar w:fldCharType="separate"/>
      </w:r>
    </w:p>
    <w:tbl>
      <w:tblPr>
        <w:tblW w:w="9540" w:type="dxa"/>
        <w:tblInd w:w="198" w:type="dxa"/>
        <w:shd w:val="pct12" w:color="000000" w:fill="FFFFFF"/>
        <w:tblLook w:val="04A0" w:firstRow="1" w:lastRow="0" w:firstColumn="1" w:lastColumn="0" w:noHBand="0" w:noVBand="1"/>
      </w:tblPr>
      <w:tblGrid>
        <w:gridCol w:w="1620"/>
        <w:gridCol w:w="1127"/>
        <w:gridCol w:w="692"/>
        <w:gridCol w:w="1061"/>
        <w:gridCol w:w="864"/>
        <w:gridCol w:w="1296"/>
        <w:gridCol w:w="900"/>
        <w:gridCol w:w="1260"/>
        <w:gridCol w:w="720"/>
      </w:tblGrid>
      <w:tr w:rsidR="00221487" w:rsidRPr="00221487" w:rsidTr="004342D7">
        <w:trPr>
          <w:trHeight w:val="463"/>
        </w:trPr>
        <w:tc>
          <w:tcPr>
            <w:tcW w:w="1620" w:type="dxa"/>
            <w:tcBorders>
              <w:top w:val="single" w:sz="8" w:space="0" w:color="auto"/>
              <w:left w:val="single" w:sz="8" w:space="0" w:color="auto"/>
              <w:bottom w:val="nil"/>
              <w:right w:val="nil"/>
            </w:tcBorders>
            <w:shd w:val="pct12" w:color="000000" w:fill="FFFFFF"/>
            <w:noWrap/>
            <w:vAlign w:val="center"/>
            <w:hideMark/>
          </w:tcPr>
          <w:p w:rsidR="00221487" w:rsidRPr="00221487" w:rsidRDefault="00221487" w:rsidP="00221487">
            <w:pPr>
              <w:spacing w:after="0" w:line="240" w:lineRule="auto"/>
              <w:rPr>
                <w:rFonts w:ascii="Times New Roman" w:eastAsia="Times New Roman" w:hAnsi="Times New Roman" w:cs="Times New Roman"/>
                <w:b/>
                <w:bCs/>
                <w:noProof/>
                <w:color w:val="000000"/>
                <w:lang w:val="sq-AL"/>
              </w:rPr>
            </w:pPr>
            <w:r w:rsidRPr="00221487">
              <w:rPr>
                <w:rFonts w:ascii="Times New Roman" w:eastAsia="Times New Roman" w:hAnsi="Times New Roman" w:cs="Times New Roman"/>
                <w:b/>
                <w:bCs/>
                <w:noProof/>
                <w:color w:val="000000"/>
                <w:lang w:val="sq-AL"/>
              </w:rPr>
              <w:t> </w:t>
            </w:r>
          </w:p>
        </w:tc>
        <w:tc>
          <w:tcPr>
            <w:tcW w:w="1819" w:type="dxa"/>
            <w:gridSpan w:val="2"/>
            <w:tcBorders>
              <w:top w:val="single" w:sz="8" w:space="0" w:color="auto"/>
              <w:left w:val="single" w:sz="4" w:space="0" w:color="auto"/>
              <w:bottom w:val="nil"/>
              <w:right w:val="nil"/>
            </w:tcBorders>
            <w:shd w:val="pct12" w:color="000000" w:fill="FFFFFF"/>
            <w:noWrap/>
            <w:vAlign w:val="center"/>
            <w:hideMark/>
          </w:tcPr>
          <w:p w:rsidR="00221487" w:rsidRPr="00221487" w:rsidRDefault="00221487" w:rsidP="00221487">
            <w:pPr>
              <w:spacing w:after="0" w:line="240" w:lineRule="auto"/>
              <w:jc w:val="center"/>
              <w:rPr>
                <w:rFonts w:ascii="Times New Roman" w:eastAsia="Times New Roman" w:hAnsi="Times New Roman" w:cs="Times New Roman"/>
                <w:b/>
                <w:bCs/>
                <w:noProof/>
                <w:color w:val="000000"/>
                <w:lang w:val="sq-AL"/>
              </w:rPr>
            </w:pPr>
            <w:r w:rsidRPr="00221487">
              <w:rPr>
                <w:rFonts w:ascii="Times New Roman" w:eastAsia="Times New Roman" w:hAnsi="Times New Roman" w:cs="Times New Roman"/>
                <w:b/>
                <w:bCs/>
                <w:noProof/>
                <w:color w:val="000000"/>
                <w:lang w:val="sq-AL"/>
              </w:rPr>
              <w:t>2015</w:t>
            </w:r>
          </w:p>
        </w:tc>
        <w:tc>
          <w:tcPr>
            <w:tcW w:w="1925" w:type="dxa"/>
            <w:gridSpan w:val="2"/>
            <w:tcBorders>
              <w:top w:val="single" w:sz="8" w:space="0" w:color="auto"/>
              <w:left w:val="single" w:sz="4" w:space="0" w:color="auto"/>
              <w:bottom w:val="nil"/>
              <w:right w:val="single" w:sz="4" w:space="0" w:color="000000"/>
            </w:tcBorders>
            <w:shd w:val="pct12" w:color="000000" w:fill="FFFFFF"/>
            <w:noWrap/>
            <w:vAlign w:val="center"/>
            <w:hideMark/>
          </w:tcPr>
          <w:p w:rsidR="00221487" w:rsidRPr="00221487" w:rsidRDefault="00221487" w:rsidP="00221487">
            <w:pPr>
              <w:spacing w:after="0" w:line="240" w:lineRule="auto"/>
              <w:jc w:val="center"/>
              <w:rPr>
                <w:rFonts w:ascii="Times New Roman" w:eastAsia="Times New Roman" w:hAnsi="Times New Roman" w:cs="Times New Roman"/>
                <w:b/>
                <w:bCs/>
                <w:noProof/>
                <w:color w:val="000000"/>
                <w:lang w:val="sq-AL"/>
              </w:rPr>
            </w:pPr>
            <w:r w:rsidRPr="00221487">
              <w:rPr>
                <w:rFonts w:ascii="Times New Roman" w:eastAsia="Times New Roman" w:hAnsi="Times New Roman" w:cs="Times New Roman"/>
                <w:b/>
                <w:bCs/>
                <w:noProof/>
                <w:color w:val="000000"/>
                <w:lang w:val="sq-AL"/>
              </w:rPr>
              <w:t>2016</w:t>
            </w:r>
          </w:p>
        </w:tc>
        <w:tc>
          <w:tcPr>
            <w:tcW w:w="2196" w:type="dxa"/>
            <w:gridSpan w:val="2"/>
            <w:tcBorders>
              <w:top w:val="single" w:sz="8" w:space="0" w:color="auto"/>
              <w:left w:val="nil"/>
              <w:bottom w:val="nil"/>
              <w:right w:val="single" w:sz="4" w:space="0" w:color="000000"/>
            </w:tcBorders>
            <w:shd w:val="pct12" w:color="000000" w:fill="FFFFFF"/>
            <w:noWrap/>
            <w:vAlign w:val="center"/>
            <w:hideMark/>
          </w:tcPr>
          <w:p w:rsidR="00221487" w:rsidRPr="00221487" w:rsidRDefault="00221487" w:rsidP="00221487">
            <w:pPr>
              <w:spacing w:after="0" w:line="240" w:lineRule="auto"/>
              <w:jc w:val="center"/>
              <w:rPr>
                <w:rFonts w:ascii="Times New Roman" w:eastAsia="Times New Roman" w:hAnsi="Times New Roman" w:cs="Times New Roman"/>
                <w:b/>
                <w:bCs/>
                <w:noProof/>
                <w:color w:val="000000"/>
                <w:lang w:val="sq-AL"/>
              </w:rPr>
            </w:pPr>
            <w:r w:rsidRPr="00221487">
              <w:rPr>
                <w:rFonts w:ascii="Times New Roman" w:eastAsia="Times New Roman" w:hAnsi="Times New Roman" w:cs="Times New Roman"/>
                <w:b/>
                <w:bCs/>
                <w:noProof/>
                <w:color w:val="000000"/>
                <w:lang w:val="sq-AL"/>
              </w:rPr>
              <w:t>2017</w:t>
            </w:r>
          </w:p>
        </w:tc>
        <w:tc>
          <w:tcPr>
            <w:tcW w:w="1980" w:type="dxa"/>
            <w:gridSpan w:val="2"/>
            <w:tcBorders>
              <w:top w:val="single" w:sz="8" w:space="0" w:color="auto"/>
              <w:left w:val="nil"/>
              <w:bottom w:val="nil"/>
              <w:right w:val="single" w:sz="8" w:space="0" w:color="000000"/>
            </w:tcBorders>
            <w:shd w:val="pct12" w:color="000000" w:fill="FFFFFF"/>
            <w:noWrap/>
            <w:vAlign w:val="center"/>
            <w:hideMark/>
          </w:tcPr>
          <w:p w:rsidR="00221487" w:rsidRPr="00221487" w:rsidRDefault="00221487" w:rsidP="00221487">
            <w:pPr>
              <w:spacing w:after="0" w:line="240" w:lineRule="auto"/>
              <w:jc w:val="center"/>
              <w:rPr>
                <w:rFonts w:ascii="Times New Roman" w:eastAsia="Times New Roman" w:hAnsi="Times New Roman" w:cs="Times New Roman"/>
                <w:b/>
                <w:bCs/>
                <w:noProof/>
                <w:color w:val="000000"/>
                <w:lang w:val="sq-AL"/>
              </w:rPr>
            </w:pPr>
            <w:r w:rsidRPr="00221487">
              <w:rPr>
                <w:rFonts w:ascii="Times New Roman" w:eastAsia="Times New Roman" w:hAnsi="Times New Roman" w:cs="Times New Roman"/>
                <w:b/>
                <w:bCs/>
                <w:noProof/>
                <w:color w:val="000000"/>
                <w:lang w:val="sq-AL"/>
              </w:rPr>
              <w:t>2018</w:t>
            </w:r>
          </w:p>
        </w:tc>
      </w:tr>
      <w:tr w:rsidR="00221487" w:rsidRPr="00221487" w:rsidTr="004342D7">
        <w:trPr>
          <w:trHeight w:val="362"/>
        </w:trPr>
        <w:tc>
          <w:tcPr>
            <w:tcW w:w="1620" w:type="dxa"/>
            <w:tcBorders>
              <w:top w:val="nil"/>
              <w:left w:val="single" w:sz="8" w:space="0" w:color="auto"/>
              <w:bottom w:val="nil"/>
              <w:right w:val="nil"/>
            </w:tcBorders>
            <w:shd w:val="pct12" w:color="000000" w:fill="FFFFFF"/>
            <w:noWrap/>
            <w:vAlign w:val="center"/>
            <w:hideMark/>
          </w:tcPr>
          <w:p w:rsidR="00221487" w:rsidRPr="00221487" w:rsidRDefault="00221487" w:rsidP="00221487">
            <w:pPr>
              <w:spacing w:after="0" w:line="240" w:lineRule="auto"/>
              <w:rPr>
                <w:rFonts w:ascii="Times New Roman" w:eastAsia="Times New Roman" w:hAnsi="Times New Roman" w:cs="Times New Roman"/>
                <w:b/>
                <w:bCs/>
                <w:i/>
                <w:iCs/>
                <w:noProof/>
                <w:color w:val="000000"/>
                <w:lang w:val="sq-AL"/>
              </w:rPr>
            </w:pPr>
            <w:r w:rsidRPr="00221487">
              <w:rPr>
                <w:rFonts w:ascii="Times New Roman" w:eastAsia="Times New Roman" w:hAnsi="Times New Roman" w:cs="Times New Roman"/>
                <w:b/>
                <w:bCs/>
                <w:i/>
                <w:iCs/>
                <w:noProof/>
                <w:color w:val="000000"/>
                <w:lang w:val="sq-AL"/>
              </w:rPr>
              <w:lastRenderedPageBreak/>
              <w:t> </w:t>
            </w:r>
          </w:p>
        </w:tc>
        <w:tc>
          <w:tcPr>
            <w:tcW w:w="1127" w:type="dxa"/>
            <w:tcBorders>
              <w:top w:val="nil"/>
              <w:left w:val="single" w:sz="4" w:space="0" w:color="auto"/>
              <w:bottom w:val="single" w:sz="8" w:space="0" w:color="auto"/>
              <w:right w:val="nil"/>
            </w:tcBorders>
            <w:shd w:val="pct12" w:color="000000" w:fill="FFFFFF"/>
            <w:noWrap/>
            <w:vAlign w:val="center"/>
            <w:hideMark/>
          </w:tcPr>
          <w:p w:rsidR="00221487" w:rsidRPr="00221487" w:rsidRDefault="00221487" w:rsidP="00221487">
            <w:pPr>
              <w:spacing w:after="0" w:line="240" w:lineRule="auto"/>
              <w:jc w:val="center"/>
              <w:rPr>
                <w:rFonts w:ascii="Times New Roman" w:eastAsia="Times New Roman" w:hAnsi="Times New Roman" w:cs="Times New Roman"/>
                <w:b/>
                <w:bCs/>
                <w:i/>
                <w:iCs/>
                <w:noProof/>
                <w:color w:val="000000"/>
                <w:lang w:val="sq-AL"/>
              </w:rPr>
            </w:pPr>
            <w:r w:rsidRPr="00221487">
              <w:rPr>
                <w:rFonts w:ascii="Times New Roman" w:eastAsia="Times New Roman" w:hAnsi="Times New Roman" w:cs="Times New Roman"/>
                <w:b/>
                <w:bCs/>
                <w:i/>
                <w:iCs/>
                <w:noProof/>
                <w:color w:val="000000"/>
                <w:lang w:val="sq-AL"/>
              </w:rPr>
              <w:t>Lek milionë</w:t>
            </w:r>
          </w:p>
        </w:tc>
        <w:tc>
          <w:tcPr>
            <w:tcW w:w="692" w:type="dxa"/>
            <w:tcBorders>
              <w:top w:val="nil"/>
              <w:left w:val="nil"/>
              <w:bottom w:val="single" w:sz="8" w:space="0" w:color="auto"/>
              <w:right w:val="nil"/>
            </w:tcBorders>
            <w:shd w:val="pct12" w:color="000000" w:fill="FFFFFF"/>
            <w:noWrap/>
            <w:vAlign w:val="center"/>
            <w:hideMark/>
          </w:tcPr>
          <w:p w:rsidR="00221487" w:rsidRPr="00221487" w:rsidRDefault="00221487" w:rsidP="00221487">
            <w:pPr>
              <w:spacing w:after="0" w:line="240" w:lineRule="auto"/>
              <w:jc w:val="center"/>
              <w:rPr>
                <w:rFonts w:ascii="Times New Roman" w:eastAsia="Times New Roman" w:hAnsi="Times New Roman" w:cs="Times New Roman"/>
                <w:b/>
                <w:bCs/>
                <w:i/>
                <w:iCs/>
                <w:noProof/>
                <w:color w:val="000000"/>
                <w:lang w:val="sq-AL"/>
              </w:rPr>
            </w:pPr>
            <w:r w:rsidRPr="00221487">
              <w:rPr>
                <w:rFonts w:ascii="Times New Roman" w:eastAsia="Times New Roman" w:hAnsi="Times New Roman" w:cs="Times New Roman"/>
                <w:b/>
                <w:bCs/>
                <w:i/>
                <w:iCs/>
                <w:noProof/>
                <w:color w:val="000000"/>
                <w:lang w:val="sq-AL"/>
              </w:rPr>
              <w:t>% e PBB</w:t>
            </w:r>
          </w:p>
        </w:tc>
        <w:tc>
          <w:tcPr>
            <w:tcW w:w="1061" w:type="dxa"/>
            <w:tcBorders>
              <w:top w:val="nil"/>
              <w:left w:val="single" w:sz="4" w:space="0" w:color="auto"/>
              <w:bottom w:val="single" w:sz="8" w:space="0" w:color="auto"/>
              <w:right w:val="nil"/>
            </w:tcBorders>
            <w:shd w:val="pct12" w:color="000000" w:fill="FFFFFF"/>
            <w:noWrap/>
            <w:vAlign w:val="center"/>
            <w:hideMark/>
          </w:tcPr>
          <w:p w:rsidR="00221487" w:rsidRPr="00221487" w:rsidRDefault="00221487" w:rsidP="00221487">
            <w:pPr>
              <w:spacing w:after="0" w:line="240" w:lineRule="auto"/>
              <w:jc w:val="center"/>
              <w:rPr>
                <w:rFonts w:ascii="Times New Roman" w:eastAsia="Times New Roman" w:hAnsi="Times New Roman" w:cs="Times New Roman"/>
                <w:b/>
                <w:bCs/>
                <w:i/>
                <w:iCs/>
                <w:noProof/>
                <w:color w:val="000000"/>
                <w:lang w:val="sq-AL"/>
              </w:rPr>
            </w:pPr>
            <w:r w:rsidRPr="00221487">
              <w:rPr>
                <w:rFonts w:ascii="Times New Roman" w:eastAsia="Times New Roman" w:hAnsi="Times New Roman" w:cs="Times New Roman"/>
                <w:b/>
                <w:bCs/>
                <w:i/>
                <w:iCs/>
                <w:noProof/>
                <w:color w:val="000000"/>
                <w:lang w:val="sq-AL"/>
              </w:rPr>
              <w:t>Lek milionë</w:t>
            </w:r>
          </w:p>
        </w:tc>
        <w:tc>
          <w:tcPr>
            <w:tcW w:w="864" w:type="dxa"/>
            <w:tcBorders>
              <w:top w:val="nil"/>
              <w:left w:val="nil"/>
              <w:bottom w:val="single" w:sz="8" w:space="0" w:color="auto"/>
              <w:right w:val="single" w:sz="4" w:space="0" w:color="auto"/>
            </w:tcBorders>
            <w:shd w:val="pct12" w:color="000000" w:fill="FFFFFF"/>
            <w:noWrap/>
            <w:vAlign w:val="center"/>
            <w:hideMark/>
          </w:tcPr>
          <w:p w:rsidR="00221487" w:rsidRPr="00221487" w:rsidRDefault="00221487" w:rsidP="00221487">
            <w:pPr>
              <w:spacing w:after="0" w:line="240" w:lineRule="auto"/>
              <w:jc w:val="center"/>
              <w:rPr>
                <w:rFonts w:ascii="Times New Roman" w:eastAsia="Times New Roman" w:hAnsi="Times New Roman" w:cs="Times New Roman"/>
                <w:b/>
                <w:bCs/>
                <w:i/>
                <w:iCs/>
                <w:noProof/>
                <w:color w:val="000000"/>
                <w:lang w:val="sq-AL"/>
              </w:rPr>
            </w:pPr>
            <w:r w:rsidRPr="00221487">
              <w:rPr>
                <w:rFonts w:ascii="Times New Roman" w:eastAsia="Times New Roman" w:hAnsi="Times New Roman" w:cs="Times New Roman"/>
                <w:b/>
                <w:bCs/>
                <w:i/>
                <w:iCs/>
                <w:noProof/>
                <w:color w:val="000000"/>
                <w:lang w:val="sq-AL"/>
              </w:rPr>
              <w:t>% e PBB</w:t>
            </w:r>
          </w:p>
        </w:tc>
        <w:tc>
          <w:tcPr>
            <w:tcW w:w="1296" w:type="dxa"/>
            <w:tcBorders>
              <w:top w:val="nil"/>
              <w:left w:val="nil"/>
              <w:bottom w:val="single" w:sz="8" w:space="0" w:color="auto"/>
              <w:right w:val="nil"/>
            </w:tcBorders>
            <w:shd w:val="pct12" w:color="000000" w:fill="FFFFFF"/>
            <w:noWrap/>
            <w:vAlign w:val="center"/>
            <w:hideMark/>
          </w:tcPr>
          <w:p w:rsidR="00221487" w:rsidRPr="00221487" w:rsidRDefault="00221487" w:rsidP="00221487">
            <w:pPr>
              <w:spacing w:after="0" w:line="240" w:lineRule="auto"/>
              <w:jc w:val="center"/>
              <w:rPr>
                <w:rFonts w:ascii="Times New Roman" w:eastAsia="Times New Roman" w:hAnsi="Times New Roman" w:cs="Times New Roman"/>
                <w:b/>
                <w:bCs/>
                <w:i/>
                <w:iCs/>
                <w:noProof/>
                <w:color w:val="000000"/>
                <w:lang w:val="sq-AL"/>
              </w:rPr>
            </w:pPr>
            <w:r w:rsidRPr="00221487">
              <w:rPr>
                <w:rFonts w:ascii="Times New Roman" w:eastAsia="Times New Roman" w:hAnsi="Times New Roman" w:cs="Times New Roman"/>
                <w:b/>
                <w:bCs/>
                <w:i/>
                <w:iCs/>
                <w:noProof/>
                <w:color w:val="000000"/>
                <w:lang w:val="sq-AL"/>
              </w:rPr>
              <w:t xml:space="preserve">Lek </w:t>
            </w:r>
          </w:p>
          <w:p w:rsidR="00221487" w:rsidRPr="00221487" w:rsidRDefault="00221487" w:rsidP="00221487">
            <w:pPr>
              <w:spacing w:after="0" w:line="240" w:lineRule="auto"/>
              <w:jc w:val="center"/>
              <w:rPr>
                <w:rFonts w:ascii="Times New Roman" w:eastAsia="Times New Roman" w:hAnsi="Times New Roman" w:cs="Times New Roman"/>
                <w:b/>
                <w:bCs/>
                <w:i/>
                <w:iCs/>
                <w:noProof/>
                <w:color w:val="000000"/>
                <w:lang w:val="sq-AL"/>
              </w:rPr>
            </w:pPr>
            <w:r w:rsidRPr="00221487">
              <w:rPr>
                <w:rFonts w:ascii="Times New Roman" w:eastAsia="Times New Roman" w:hAnsi="Times New Roman" w:cs="Times New Roman"/>
                <w:b/>
                <w:bCs/>
                <w:i/>
                <w:iCs/>
                <w:noProof/>
                <w:color w:val="000000"/>
                <w:lang w:val="sq-AL"/>
              </w:rPr>
              <w:t>milionë</w:t>
            </w:r>
          </w:p>
        </w:tc>
        <w:tc>
          <w:tcPr>
            <w:tcW w:w="900" w:type="dxa"/>
            <w:tcBorders>
              <w:top w:val="nil"/>
              <w:left w:val="nil"/>
              <w:bottom w:val="single" w:sz="8" w:space="0" w:color="auto"/>
              <w:right w:val="single" w:sz="4" w:space="0" w:color="auto"/>
            </w:tcBorders>
            <w:shd w:val="pct12" w:color="000000" w:fill="FFFFFF"/>
            <w:noWrap/>
            <w:vAlign w:val="center"/>
            <w:hideMark/>
          </w:tcPr>
          <w:p w:rsidR="00221487" w:rsidRPr="00221487" w:rsidRDefault="00221487" w:rsidP="00221487">
            <w:pPr>
              <w:spacing w:after="0" w:line="240" w:lineRule="auto"/>
              <w:jc w:val="center"/>
              <w:rPr>
                <w:rFonts w:ascii="Times New Roman" w:eastAsia="Times New Roman" w:hAnsi="Times New Roman" w:cs="Times New Roman"/>
                <w:b/>
                <w:bCs/>
                <w:i/>
                <w:iCs/>
                <w:noProof/>
                <w:color w:val="000000"/>
                <w:lang w:val="sq-AL"/>
              </w:rPr>
            </w:pPr>
            <w:r w:rsidRPr="00221487">
              <w:rPr>
                <w:rFonts w:ascii="Times New Roman" w:eastAsia="Times New Roman" w:hAnsi="Times New Roman" w:cs="Times New Roman"/>
                <w:b/>
                <w:bCs/>
                <w:i/>
                <w:iCs/>
                <w:noProof/>
                <w:color w:val="000000"/>
                <w:lang w:val="sq-AL"/>
              </w:rPr>
              <w:t>% e PBB</w:t>
            </w:r>
          </w:p>
        </w:tc>
        <w:tc>
          <w:tcPr>
            <w:tcW w:w="1260" w:type="dxa"/>
            <w:tcBorders>
              <w:top w:val="nil"/>
              <w:left w:val="nil"/>
              <w:bottom w:val="single" w:sz="8" w:space="0" w:color="auto"/>
              <w:right w:val="nil"/>
            </w:tcBorders>
            <w:shd w:val="pct12" w:color="000000" w:fill="FFFFFF"/>
            <w:noWrap/>
            <w:vAlign w:val="center"/>
            <w:hideMark/>
          </w:tcPr>
          <w:p w:rsidR="00221487" w:rsidRPr="00221487" w:rsidRDefault="00221487" w:rsidP="00221487">
            <w:pPr>
              <w:spacing w:after="0" w:line="240" w:lineRule="auto"/>
              <w:jc w:val="center"/>
              <w:rPr>
                <w:rFonts w:ascii="Times New Roman" w:eastAsia="Times New Roman" w:hAnsi="Times New Roman" w:cs="Times New Roman"/>
                <w:b/>
                <w:bCs/>
                <w:i/>
                <w:iCs/>
                <w:noProof/>
                <w:color w:val="000000"/>
                <w:lang w:val="sq-AL"/>
              </w:rPr>
            </w:pPr>
            <w:r w:rsidRPr="00221487">
              <w:rPr>
                <w:rFonts w:ascii="Times New Roman" w:eastAsia="Times New Roman" w:hAnsi="Times New Roman" w:cs="Times New Roman"/>
                <w:b/>
                <w:bCs/>
                <w:i/>
                <w:iCs/>
                <w:noProof/>
                <w:color w:val="000000"/>
                <w:lang w:val="sq-AL"/>
              </w:rPr>
              <w:t>Lek milionë</w:t>
            </w:r>
          </w:p>
        </w:tc>
        <w:tc>
          <w:tcPr>
            <w:tcW w:w="720" w:type="dxa"/>
            <w:tcBorders>
              <w:top w:val="nil"/>
              <w:left w:val="nil"/>
              <w:bottom w:val="single" w:sz="8" w:space="0" w:color="auto"/>
              <w:right w:val="single" w:sz="8" w:space="0" w:color="auto"/>
            </w:tcBorders>
            <w:shd w:val="pct12" w:color="000000" w:fill="FFFFFF"/>
            <w:noWrap/>
            <w:vAlign w:val="center"/>
            <w:hideMark/>
          </w:tcPr>
          <w:p w:rsidR="00221487" w:rsidRPr="00221487" w:rsidRDefault="00221487" w:rsidP="00221487">
            <w:pPr>
              <w:spacing w:after="0" w:line="240" w:lineRule="auto"/>
              <w:jc w:val="center"/>
              <w:rPr>
                <w:rFonts w:ascii="Times New Roman" w:eastAsia="Times New Roman" w:hAnsi="Times New Roman" w:cs="Times New Roman"/>
                <w:b/>
                <w:bCs/>
                <w:i/>
                <w:iCs/>
                <w:noProof/>
                <w:color w:val="000000"/>
                <w:lang w:val="sq-AL"/>
              </w:rPr>
            </w:pPr>
            <w:r w:rsidRPr="00221487">
              <w:rPr>
                <w:rFonts w:ascii="Times New Roman" w:eastAsia="Times New Roman" w:hAnsi="Times New Roman" w:cs="Times New Roman"/>
                <w:b/>
                <w:bCs/>
                <w:i/>
                <w:iCs/>
                <w:noProof/>
                <w:color w:val="000000"/>
                <w:lang w:val="sq-AL"/>
              </w:rPr>
              <w:t>% e PBB</w:t>
            </w:r>
          </w:p>
        </w:tc>
      </w:tr>
      <w:tr w:rsidR="00221487" w:rsidRPr="00221487" w:rsidTr="004342D7">
        <w:trPr>
          <w:trHeight w:val="416"/>
        </w:trPr>
        <w:tc>
          <w:tcPr>
            <w:tcW w:w="1620" w:type="dxa"/>
            <w:tcBorders>
              <w:top w:val="nil"/>
              <w:left w:val="single" w:sz="8" w:space="0" w:color="auto"/>
              <w:bottom w:val="single" w:sz="4" w:space="0" w:color="auto"/>
              <w:right w:val="nil"/>
            </w:tcBorders>
            <w:shd w:val="pct12" w:color="000000" w:fill="FFFFFF"/>
            <w:noWrap/>
            <w:vAlign w:val="center"/>
            <w:hideMark/>
          </w:tcPr>
          <w:p w:rsidR="00221487" w:rsidRPr="00221487" w:rsidRDefault="00221487" w:rsidP="00221487">
            <w:pPr>
              <w:spacing w:after="0" w:line="240" w:lineRule="auto"/>
              <w:rPr>
                <w:rFonts w:ascii="Times New Roman" w:eastAsia="Times New Roman" w:hAnsi="Times New Roman" w:cs="Times New Roman"/>
                <w:b/>
                <w:bCs/>
                <w:i/>
                <w:iCs/>
                <w:noProof/>
                <w:color w:val="000000"/>
                <w:lang w:val="sq-AL"/>
              </w:rPr>
            </w:pPr>
            <w:r w:rsidRPr="00221487">
              <w:rPr>
                <w:rFonts w:ascii="Times New Roman" w:eastAsia="Times New Roman" w:hAnsi="Times New Roman" w:cs="Times New Roman"/>
                <w:b/>
                <w:bCs/>
                <w:i/>
                <w:iCs/>
                <w:noProof/>
                <w:color w:val="000000"/>
                <w:lang w:val="sq-AL"/>
              </w:rPr>
              <w:t>Totali i të ardhurave</w:t>
            </w:r>
          </w:p>
        </w:tc>
        <w:tc>
          <w:tcPr>
            <w:tcW w:w="1127" w:type="dxa"/>
            <w:tcBorders>
              <w:top w:val="nil"/>
              <w:left w:val="single" w:sz="4" w:space="0" w:color="auto"/>
              <w:bottom w:val="single" w:sz="4" w:space="0" w:color="auto"/>
              <w:right w:val="nil"/>
            </w:tcBorders>
            <w:shd w:val="pct12" w:color="000000" w:fill="FFFFFF"/>
            <w:noWrap/>
            <w:vAlign w:val="center"/>
            <w:hideMark/>
          </w:tcPr>
          <w:p w:rsidR="00221487" w:rsidRPr="00221487" w:rsidRDefault="00221487" w:rsidP="00221487">
            <w:pPr>
              <w:spacing w:after="0" w:line="240" w:lineRule="auto"/>
              <w:jc w:val="center"/>
              <w:rPr>
                <w:rFonts w:ascii="Times New Roman" w:eastAsia="Times New Roman" w:hAnsi="Times New Roman" w:cs="Times New Roman"/>
                <w:b/>
                <w:bCs/>
                <w:i/>
                <w:iCs/>
                <w:noProof/>
                <w:color w:val="000000"/>
                <w:lang w:val="sq-AL"/>
              </w:rPr>
            </w:pPr>
            <w:r w:rsidRPr="00221487">
              <w:rPr>
                <w:rFonts w:ascii="Times New Roman" w:eastAsia="Times New Roman" w:hAnsi="Times New Roman" w:cs="Times New Roman"/>
                <w:b/>
                <w:bCs/>
                <w:i/>
                <w:iCs/>
                <w:noProof/>
                <w:color w:val="000000"/>
                <w:lang w:val="sq-AL"/>
              </w:rPr>
              <w:t>379,206</w:t>
            </w:r>
          </w:p>
        </w:tc>
        <w:tc>
          <w:tcPr>
            <w:tcW w:w="692" w:type="dxa"/>
            <w:tcBorders>
              <w:top w:val="nil"/>
              <w:left w:val="nil"/>
              <w:bottom w:val="single" w:sz="4" w:space="0" w:color="auto"/>
              <w:right w:val="nil"/>
            </w:tcBorders>
            <w:shd w:val="pct12" w:color="000000" w:fill="FFFFFF"/>
            <w:vAlign w:val="center"/>
            <w:hideMark/>
          </w:tcPr>
          <w:p w:rsidR="00221487" w:rsidRPr="00221487" w:rsidRDefault="00221487" w:rsidP="00221487">
            <w:pPr>
              <w:spacing w:after="0" w:line="240" w:lineRule="auto"/>
              <w:jc w:val="center"/>
              <w:rPr>
                <w:rFonts w:ascii="Times New Roman" w:eastAsia="Times New Roman" w:hAnsi="Times New Roman" w:cs="Times New Roman"/>
                <w:i/>
                <w:iCs/>
                <w:noProof/>
                <w:color w:val="000000"/>
                <w:lang w:val="sq-AL"/>
              </w:rPr>
            </w:pPr>
            <w:r w:rsidRPr="00221487">
              <w:rPr>
                <w:rFonts w:ascii="Times New Roman" w:eastAsia="Times New Roman" w:hAnsi="Times New Roman" w:cs="Times New Roman"/>
                <w:i/>
                <w:iCs/>
                <w:noProof/>
                <w:color w:val="000000"/>
                <w:lang w:val="sq-AL"/>
              </w:rPr>
              <w:t>26.6</w:t>
            </w:r>
          </w:p>
        </w:tc>
        <w:tc>
          <w:tcPr>
            <w:tcW w:w="1061" w:type="dxa"/>
            <w:tcBorders>
              <w:top w:val="nil"/>
              <w:left w:val="single" w:sz="4" w:space="0" w:color="auto"/>
              <w:bottom w:val="single" w:sz="4" w:space="0" w:color="auto"/>
              <w:right w:val="nil"/>
            </w:tcBorders>
            <w:shd w:val="pct12" w:color="000000" w:fill="FFFFFF"/>
            <w:noWrap/>
            <w:vAlign w:val="center"/>
            <w:hideMark/>
          </w:tcPr>
          <w:p w:rsidR="00221487" w:rsidRPr="00221487" w:rsidRDefault="00221487" w:rsidP="00221487">
            <w:pPr>
              <w:spacing w:after="0" w:line="240" w:lineRule="auto"/>
              <w:jc w:val="center"/>
              <w:rPr>
                <w:rFonts w:ascii="Times New Roman" w:eastAsia="Times New Roman" w:hAnsi="Times New Roman" w:cs="Times New Roman"/>
                <w:b/>
                <w:bCs/>
                <w:i/>
                <w:iCs/>
                <w:noProof/>
                <w:color w:val="000000"/>
                <w:lang w:val="sq-AL"/>
              </w:rPr>
            </w:pPr>
            <w:r w:rsidRPr="00221487">
              <w:rPr>
                <w:rFonts w:ascii="Times New Roman" w:eastAsia="Times New Roman" w:hAnsi="Times New Roman" w:cs="Times New Roman"/>
                <w:b/>
                <w:bCs/>
                <w:i/>
                <w:iCs/>
                <w:noProof/>
                <w:color w:val="000000"/>
                <w:lang w:val="sq-AL"/>
              </w:rPr>
              <w:t>407,021</w:t>
            </w:r>
          </w:p>
        </w:tc>
        <w:tc>
          <w:tcPr>
            <w:tcW w:w="864" w:type="dxa"/>
            <w:tcBorders>
              <w:top w:val="nil"/>
              <w:left w:val="nil"/>
              <w:bottom w:val="single" w:sz="4" w:space="0" w:color="auto"/>
              <w:right w:val="single" w:sz="4" w:space="0" w:color="auto"/>
            </w:tcBorders>
            <w:shd w:val="pct12" w:color="000000" w:fill="FFFFFF"/>
            <w:noWrap/>
            <w:vAlign w:val="center"/>
            <w:hideMark/>
          </w:tcPr>
          <w:p w:rsidR="00221487" w:rsidRPr="00221487" w:rsidRDefault="00221487" w:rsidP="00221487">
            <w:pPr>
              <w:spacing w:after="0" w:line="240" w:lineRule="auto"/>
              <w:jc w:val="center"/>
              <w:rPr>
                <w:rFonts w:ascii="Times New Roman" w:eastAsia="Times New Roman" w:hAnsi="Times New Roman" w:cs="Times New Roman"/>
                <w:i/>
                <w:iCs/>
                <w:noProof/>
                <w:color w:val="000000"/>
                <w:lang w:val="sq-AL"/>
              </w:rPr>
            </w:pPr>
            <w:r w:rsidRPr="00221487">
              <w:rPr>
                <w:rFonts w:ascii="Times New Roman" w:eastAsia="Times New Roman" w:hAnsi="Times New Roman" w:cs="Times New Roman"/>
                <w:i/>
                <w:iCs/>
                <w:noProof/>
                <w:color w:val="000000"/>
                <w:lang w:val="sq-AL"/>
              </w:rPr>
              <w:t>27.6</w:t>
            </w:r>
          </w:p>
        </w:tc>
        <w:tc>
          <w:tcPr>
            <w:tcW w:w="1296" w:type="dxa"/>
            <w:tcBorders>
              <w:top w:val="nil"/>
              <w:left w:val="nil"/>
              <w:bottom w:val="single" w:sz="4" w:space="0" w:color="auto"/>
              <w:right w:val="nil"/>
            </w:tcBorders>
            <w:shd w:val="pct12" w:color="000000" w:fill="FFFFFF"/>
            <w:noWrap/>
            <w:vAlign w:val="center"/>
            <w:hideMark/>
          </w:tcPr>
          <w:p w:rsidR="00221487" w:rsidRPr="00221487" w:rsidRDefault="00221487" w:rsidP="00221487">
            <w:pPr>
              <w:spacing w:after="0" w:line="240" w:lineRule="auto"/>
              <w:jc w:val="center"/>
              <w:rPr>
                <w:rFonts w:ascii="Times New Roman" w:eastAsia="Times New Roman" w:hAnsi="Times New Roman" w:cs="Times New Roman"/>
                <w:b/>
                <w:bCs/>
                <w:i/>
                <w:iCs/>
                <w:noProof/>
                <w:color w:val="000000"/>
                <w:lang w:val="sq-AL"/>
              </w:rPr>
            </w:pPr>
            <w:r w:rsidRPr="00221487">
              <w:rPr>
                <w:rFonts w:ascii="Times New Roman" w:eastAsia="Times New Roman" w:hAnsi="Times New Roman" w:cs="Times New Roman"/>
                <w:b/>
                <w:bCs/>
                <w:i/>
                <w:iCs/>
                <w:noProof/>
                <w:color w:val="000000"/>
                <w:lang w:val="sq-AL"/>
              </w:rPr>
              <w:t>430,396</w:t>
            </w:r>
          </w:p>
        </w:tc>
        <w:tc>
          <w:tcPr>
            <w:tcW w:w="900" w:type="dxa"/>
            <w:tcBorders>
              <w:top w:val="nil"/>
              <w:left w:val="nil"/>
              <w:bottom w:val="single" w:sz="4" w:space="0" w:color="auto"/>
              <w:right w:val="single" w:sz="4" w:space="0" w:color="auto"/>
            </w:tcBorders>
            <w:shd w:val="pct12" w:color="000000" w:fill="FFFFFF"/>
            <w:noWrap/>
            <w:vAlign w:val="center"/>
            <w:hideMark/>
          </w:tcPr>
          <w:p w:rsidR="00221487" w:rsidRPr="00221487" w:rsidRDefault="00221487" w:rsidP="00221487">
            <w:pPr>
              <w:spacing w:after="0" w:line="240" w:lineRule="auto"/>
              <w:jc w:val="center"/>
              <w:rPr>
                <w:rFonts w:ascii="Times New Roman" w:eastAsia="Times New Roman" w:hAnsi="Times New Roman" w:cs="Times New Roman"/>
                <w:b/>
                <w:bCs/>
                <w:i/>
                <w:iCs/>
                <w:noProof/>
                <w:color w:val="000000"/>
                <w:lang w:val="sq-AL"/>
              </w:rPr>
            </w:pPr>
            <w:r w:rsidRPr="00221487">
              <w:rPr>
                <w:rFonts w:ascii="Times New Roman" w:eastAsia="Times New Roman" w:hAnsi="Times New Roman" w:cs="Times New Roman"/>
                <w:b/>
                <w:bCs/>
                <w:i/>
                <w:iCs/>
                <w:noProof/>
                <w:color w:val="000000"/>
                <w:lang w:val="sq-AL"/>
              </w:rPr>
              <w:t>27.7</w:t>
            </w:r>
          </w:p>
        </w:tc>
        <w:tc>
          <w:tcPr>
            <w:tcW w:w="1260" w:type="dxa"/>
            <w:tcBorders>
              <w:top w:val="nil"/>
              <w:left w:val="nil"/>
              <w:bottom w:val="single" w:sz="4" w:space="0" w:color="auto"/>
              <w:right w:val="nil"/>
            </w:tcBorders>
            <w:shd w:val="pct12" w:color="000000" w:fill="FFFFFF"/>
            <w:noWrap/>
            <w:vAlign w:val="center"/>
            <w:hideMark/>
          </w:tcPr>
          <w:p w:rsidR="00221487" w:rsidRPr="00221487" w:rsidRDefault="00221487" w:rsidP="00221487">
            <w:pPr>
              <w:spacing w:after="0" w:line="240" w:lineRule="auto"/>
              <w:jc w:val="center"/>
              <w:rPr>
                <w:rFonts w:ascii="Times New Roman" w:eastAsia="Times New Roman" w:hAnsi="Times New Roman" w:cs="Times New Roman"/>
                <w:b/>
                <w:bCs/>
                <w:i/>
                <w:iCs/>
                <w:noProof/>
                <w:color w:val="000000"/>
                <w:lang w:val="sq-AL"/>
              </w:rPr>
            </w:pPr>
            <w:r w:rsidRPr="00221487">
              <w:rPr>
                <w:rFonts w:ascii="Times New Roman" w:eastAsia="Times New Roman" w:hAnsi="Times New Roman" w:cs="Times New Roman"/>
                <w:b/>
                <w:bCs/>
                <w:i/>
                <w:iCs/>
                <w:noProof/>
                <w:color w:val="000000"/>
                <w:lang w:val="sq-AL"/>
              </w:rPr>
              <w:t>449,465</w:t>
            </w:r>
          </w:p>
        </w:tc>
        <w:tc>
          <w:tcPr>
            <w:tcW w:w="720" w:type="dxa"/>
            <w:tcBorders>
              <w:top w:val="nil"/>
              <w:left w:val="nil"/>
              <w:bottom w:val="single" w:sz="4" w:space="0" w:color="auto"/>
              <w:right w:val="single" w:sz="8" w:space="0" w:color="auto"/>
            </w:tcBorders>
            <w:shd w:val="pct12" w:color="000000" w:fill="FFFFFF"/>
            <w:noWrap/>
            <w:vAlign w:val="center"/>
            <w:hideMark/>
          </w:tcPr>
          <w:p w:rsidR="00221487" w:rsidRPr="00221487" w:rsidRDefault="00221487" w:rsidP="00221487">
            <w:pPr>
              <w:spacing w:after="0" w:line="240" w:lineRule="auto"/>
              <w:jc w:val="center"/>
              <w:rPr>
                <w:rFonts w:ascii="Times New Roman" w:eastAsia="Times New Roman" w:hAnsi="Times New Roman" w:cs="Times New Roman"/>
                <w:b/>
                <w:bCs/>
                <w:i/>
                <w:iCs/>
                <w:noProof/>
                <w:color w:val="000000"/>
                <w:lang w:val="sq-AL"/>
              </w:rPr>
            </w:pPr>
            <w:r w:rsidRPr="00221487">
              <w:rPr>
                <w:rFonts w:ascii="Times New Roman" w:eastAsia="Times New Roman" w:hAnsi="Times New Roman" w:cs="Times New Roman"/>
                <w:b/>
                <w:bCs/>
                <w:i/>
                <w:iCs/>
                <w:noProof/>
                <w:color w:val="000000"/>
                <w:lang w:val="sq-AL"/>
              </w:rPr>
              <w:t>27.3</w:t>
            </w:r>
          </w:p>
        </w:tc>
      </w:tr>
      <w:tr w:rsidR="00221487" w:rsidRPr="00221487" w:rsidTr="004342D7">
        <w:trPr>
          <w:trHeight w:val="416"/>
        </w:trPr>
        <w:tc>
          <w:tcPr>
            <w:tcW w:w="1620" w:type="dxa"/>
            <w:tcBorders>
              <w:top w:val="nil"/>
              <w:left w:val="single" w:sz="8" w:space="0" w:color="auto"/>
              <w:bottom w:val="single" w:sz="4" w:space="0" w:color="auto"/>
              <w:right w:val="nil"/>
            </w:tcBorders>
            <w:shd w:val="pct12" w:color="000000" w:fill="FFFFFF"/>
            <w:noWrap/>
            <w:vAlign w:val="center"/>
            <w:hideMark/>
          </w:tcPr>
          <w:p w:rsidR="00221487" w:rsidRPr="00221487" w:rsidRDefault="00221487" w:rsidP="00221487">
            <w:pPr>
              <w:spacing w:after="0" w:line="240" w:lineRule="auto"/>
              <w:rPr>
                <w:rFonts w:ascii="Times New Roman" w:eastAsia="Times New Roman" w:hAnsi="Times New Roman" w:cs="Times New Roman"/>
                <w:b/>
                <w:bCs/>
                <w:i/>
                <w:iCs/>
                <w:noProof/>
                <w:color w:val="000000"/>
                <w:lang w:val="sq-AL"/>
              </w:rPr>
            </w:pPr>
            <w:r w:rsidRPr="00221487">
              <w:rPr>
                <w:rFonts w:ascii="Times New Roman" w:eastAsia="Times New Roman" w:hAnsi="Times New Roman" w:cs="Times New Roman"/>
                <w:b/>
                <w:bCs/>
                <w:i/>
                <w:iCs/>
                <w:noProof/>
                <w:color w:val="000000"/>
                <w:lang w:val="sq-AL"/>
              </w:rPr>
              <w:t>Totali i shpenzimeve</w:t>
            </w:r>
          </w:p>
        </w:tc>
        <w:tc>
          <w:tcPr>
            <w:tcW w:w="1127" w:type="dxa"/>
            <w:tcBorders>
              <w:top w:val="nil"/>
              <w:left w:val="single" w:sz="4" w:space="0" w:color="auto"/>
              <w:bottom w:val="single" w:sz="4" w:space="0" w:color="auto"/>
              <w:right w:val="nil"/>
            </w:tcBorders>
            <w:shd w:val="pct12" w:color="000000" w:fill="FFFFFF"/>
            <w:noWrap/>
            <w:vAlign w:val="center"/>
            <w:hideMark/>
          </w:tcPr>
          <w:p w:rsidR="00221487" w:rsidRPr="00221487" w:rsidRDefault="00221487" w:rsidP="00221487">
            <w:pPr>
              <w:spacing w:after="0" w:line="240" w:lineRule="auto"/>
              <w:jc w:val="center"/>
              <w:rPr>
                <w:rFonts w:ascii="Times New Roman" w:eastAsia="Times New Roman" w:hAnsi="Times New Roman" w:cs="Times New Roman"/>
                <w:b/>
                <w:bCs/>
                <w:i/>
                <w:iCs/>
                <w:noProof/>
                <w:color w:val="000000"/>
                <w:lang w:val="sq-AL"/>
              </w:rPr>
            </w:pPr>
            <w:r w:rsidRPr="00221487">
              <w:rPr>
                <w:rFonts w:ascii="Times New Roman" w:eastAsia="Times New Roman" w:hAnsi="Times New Roman" w:cs="Times New Roman"/>
                <w:b/>
                <w:bCs/>
                <w:i/>
                <w:iCs/>
                <w:noProof/>
                <w:color w:val="000000"/>
                <w:lang w:val="sq-AL"/>
              </w:rPr>
              <w:t>437,408</w:t>
            </w:r>
          </w:p>
        </w:tc>
        <w:tc>
          <w:tcPr>
            <w:tcW w:w="692" w:type="dxa"/>
            <w:tcBorders>
              <w:top w:val="nil"/>
              <w:left w:val="nil"/>
              <w:bottom w:val="single" w:sz="4" w:space="0" w:color="auto"/>
              <w:right w:val="nil"/>
            </w:tcBorders>
            <w:shd w:val="pct12" w:color="000000" w:fill="FFFFFF"/>
            <w:noWrap/>
            <w:vAlign w:val="center"/>
            <w:hideMark/>
          </w:tcPr>
          <w:p w:rsidR="00221487" w:rsidRPr="00221487" w:rsidRDefault="00221487" w:rsidP="00221487">
            <w:pPr>
              <w:spacing w:after="0" w:line="240" w:lineRule="auto"/>
              <w:jc w:val="center"/>
              <w:rPr>
                <w:rFonts w:ascii="Times New Roman" w:eastAsia="Times New Roman" w:hAnsi="Times New Roman" w:cs="Times New Roman"/>
                <w:i/>
                <w:iCs/>
                <w:noProof/>
                <w:color w:val="000000"/>
                <w:lang w:val="sq-AL"/>
              </w:rPr>
            </w:pPr>
            <w:r w:rsidRPr="00221487">
              <w:rPr>
                <w:rFonts w:ascii="Times New Roman" w:eastAsia="Times New Roman" w:hAnsi="Times New Roman" w:cs="Times New Roman"/>
                <w:i/>
                <w:iCs/>
                <w:noProof/>
                <w:color w:val="000000"/>
                <w:lang w:val="sq-AL"/>
              </w:rPr>
              <w:t>30.6</w:t>
            </w:r>
          </w:p>
        </w:tc>
        <w:tc>
          <w:tcPr>
            <w:tcW w:w="1061" w:type="dxa"/>
            <w:tcBorders>
              <w:top w:val="nil"/>
              <w:left w:val="single" w:sz="4" w:space="0" w:color="auto"/>
              <w:bottom w:val="single" w:sz="4" w:space="0" w:color="auto"/>
              <w:right w:val="nil"/>
            </w:tcBorders>
            <w:shd w:val="pct12" w:color="000000" w:fill="FFFFFF"/>
            <w:noWrap/>
            <w:vAlign w:val="center"/>
            <w:hideMark/>
          </w:tcPr>
          <w:p w:rsidR="00221487" w:rsidRPr="00221487" w:rsidRDefault="00221487" w:rsidP="00221487">
            <w:pPr>
              <w:spacing w:after="0" w:line="240" w:lineRule="auto"/>
              <w:jc w:val="center"/>
              <w:rPr>
                <w:rFonts w:ascii="Times New Roman" w:eastAsia="Times New Roman" w:hAnsi="Times New Roman" w:cs="Times New Roman"/>
                <w:b/>
                <w:bCs/>
                <w:i/>
                <w:iCs/>
                <w:noProof/>
                <w:color w:val="000000"/>
                <w:lang w:val="sq-AL"/>
              </w:rPr>
            </w:pPr>
            <w:r w:rsidRPr="00221487">
              <w:rPr>
                <w:rFonts w:ascii="Times New Roman" w:eastAsia="Times New Roman" w:hAnsi="Times New Roman" w:cs="Times New Roman"/>
                <w:b/>
                <w:bCs/>
                <w:i/>
                <w:iCs/>
                <w:noProof/>
                <w:color w:val="000000"/>
                <w:lang w:val="sq-AL"/>
              </w:rPr>
              <w:t>433,697</w:t>
            </w:r>
          </w:p>
        </w:tc>
        <w:tc>
          <w:tcPr>
            <w:tcW w:w="864" w:type="dxa"/>
            <w:tcBorders>
              <w:top w:val="nil"/>
              <w:left w:val="nil"/>
              <w:bottom w:val="single" w:sz="4" w:space="0" w:color="auto"/>
              <w:right w:val="single" w:sz="4" w:space="0" w:color="auto"/>
            </w:tcBorders>
            <w:shd w:val="pct12" w:color="000000" w:fill="FFFFFF"/>
            <w:noWrap/>
            <w:vAlign w:val="center"/>
            <w:hideMark/>
          </w:tcPr>
          <w:p w:rsidR="00221487" w:rsidRPr="00221487" w:rsidRDefault="00221487" w:rsidP="00221487">
            <w:pPr>
              <w:spacing w:after="0" w:line="240" w:lineRule="auto"/>
              <w:jc w:val="center"/>
              <w:rPr>
                <w:rFonts w:ascii="Times New Roman" w:eastAsia="Times New Roman" w:hAnsi="Times New Roman" w:cs="Times New Roman"/>
                <w:i/>
                <w:iCs/>
                <w:noProof/>
                <w:color w:val="000000"/>
                <w:lang w:val="sq-AL"/>
              </w:rPr>
            </w:pPr>
            <w:r w:rsidRPr="00221487">
              <w:rPr>
                <w:rFonts w:ascii="Times New Roman" w:eastAsia="Times New Roman" w:hAnsi="Times New Roman" w:cs="Times New Roman"/>
                <w:i/>
                <w:iCs/>
                <w:noProof/>
                <w:color w:val="000000"/>
                <w:lang w:val="sq-AL"/>
              </w:rPr>
              <w:t>29.4</w:t>
            </w:r>
          </w:p>
        </w:tc>
        <w:tc>
          <w:tcPr>
            <w:tcW w:w="1296" w:type="dxa"/>
            <w:tcBorders>
              <w:top w:val="nil"/>
              <w:left w:val="nil"/>
              <w:bottom w:val="single" w:sz="4" w:space="0" w:color="auto"/>
              <w:right w:val="nil"/>
            </w:tcBorders>
            <w:shd w:val="pct12" w:color="000000" w:fill="FFFFFF"/>
            <w:noWrap/>
            <w:vAlign w:val="center"/>
            <w:hideMark/>
          </w:tcPr>
          <w:p w:rsidR="00221487" w:rsidRPr="00221487" w:rsidRDefault="00221487" w:rsidP="00221487">
            <w:pPr>
              <w:spacing w:after="0" w:line="240" w:lineRule="auto"/>
              <w:jc w:val="center"/>
              <w:rPr>
                <w:rFonts w:ascii="Times New Roman" w:eastAsia="Times New Roman" w:hAnsi="Times New Roman" w:cs="Times New Roman"/>
                <w:b/>
                <w:bCs/>
                <w:i/>
                <w:iCs/>
                <w:noProof/>
                <w:color w:val="000000"/>
                <w:lang w:val="sq-AL"/>
              </w:rPr>
            </w:pPr>
            <w:r w:rsidRPr="00221487">
              <w:rPr>
                <w:rFonts w:ascii="Times New Roman" w:eastAsia="Times New Roman" w:hAnsi="Times New Roman" w:cs="Times New Roman"/>
                <w:b/>
                <w:bCs/>
                <w:i/>
                <w:iCs/>
                <w:noProof/>
                <w:color w:val="000000"/>
                <w:lang w:val="sq-AL"/>
              </w:rPr>
              <w:t>461,408</w:t>
            </w:r>
          </w:p>
        </w:tc>
        <w:tc>
          <w:tcPr>
            <w:tcW w:w="900" w:type="dxa"/>
            <w:tcBorders>
              <w:top w:val="nil"/>
              <w:left w:val="nil"/>
              <w:bottom w:val="single" w:sz="4" w:space="0" w:color="auto"/>
              <w:right w:val="single" w:sz="4" w:space="0" w:color="auto"/>
            </w:tcBorders>
            <w:shd w:val="pct12" w:color="000000" w:fill="FFFFFF"/>
            <w:noWrap/>
            <w:vAlign w:val="center"/>
            <w:hideMark/>
          </w:tcPr>
          <w:p w:rsidR="00221487" w:rsidRPr="00221487" w:rsidRDefault="00221487" w:rsidP="00221487">
            <w:pPr>
              <w:spacing w:after="0" w:line="240" w:lineRule="auto"/>
              <w:jc w:val="center"/>
              <w:rPr>
                <w:rFonts w:ascii="Times New Roman" w:eastAsia="Times New Roman" w:hAnsi="Times New Roman" w:cs="Times New Roman"/>
                <w:b/>
                <w:bCs/>
                <w:i/>
                <w:iCs/>
                <w:noProof/>
                <w:color w:val="000000"/>
                <w:lang w:val="sq-AL"/>
              </w:rPr>
            </w:pPr>
            <w:r w:rsidRPr="00221487">
              <w:rPr>
                <w:rFonts w:ascii="Times New Roman" w:eastAsia="Times New Roman" w:hAnsi="Times New Roman" w:cs="Times New Roman"/>
                <w:b/>
                <w:bCs/>
                <w:i/>
                <w:iCs/>
                <w:noProof/>
                <w:color w:val="000000"/>
                <w:lang w:val="sq-AL"/>
              </w:rPr>
              <w:t>29.7</w:t>
            </w:r>
          </w:p>
        </w:tc>
        <w:tc>
          <w:tcPr>
            <w:tcW w:w="1260" w:type="dxa"/>
            <w:tcBorders>
              <w:top w:val="nil"/>
              <w:left w:val="nil"/>
              <w:bottom w:val="single" w:sz="4" w:space="0" w:color="auto"/>
              <w:right w:val="nil"/>
            </w:tcBorders>
            <w:shd w:val="pct12" w:color="000000" w:fill="FFFFFF"/>
            <w:noWrap/>
            <w:vAlign w:val="center"/>
            <w:hideMark/>
          </w:tcPr>
          <w:p w:rsidR="00221487" w:rsidRPr="00221487" w:rsidRDefault="00221487" w:rsidP="00221487">
            <w:pPr>
              <w:spacing w:after="0" w:line="240" w:lineRule="auto"/>
              <w:jc w:val="center"/>
              <w:rPr>
                <w:rFonts w:ascii="Times New Roman" w:eastAsia="Times New Roman" w:hAnsi="Times New Roman" w:cs="Times New Roman"/>
                <w:b/>
                <w:bCs/>
                <w:i/>
                <w:iCs/>
                <w:noProof/>
                <w:color w:val="000000"/>
                <w:lang w:val="sq-AL"/>
              </w:rPr>
            </w:pPr>
            <w:r w:rsidRPr="00221487">
              <w:rPr>
                <w:rFonts w:ascii="Times New Roman" w:eastAsia="Times New Roman" w:hAnsi="Times New Roman" w:cs="Times New Roman"/>
                <w:b/>
                <w:bCs/>
                <w:i/>
                <w:iCs/>
                <w:noProof/>
                <w:color w:val="000000"/>
                <w:lang w:val="sq-AL"/>
              </w:rPr>
              <w:t>476,138</w:t>
            </w:r>
          </w:p>
        </w:tc>
        <w:tc>
          <w:tcPr>
            <w:tcW w:w="720" w:type="dxa"/>
            <w:tcBorders>
              <w:top w:val="nil"/>
              <w:left w:val="nil"/>
              <w:bottom w:val="single" w:sz="4" w:space="0" w:color="auto"/>
              <w:right w:val="single" w:sz="8" w:space="0" w:color="auto"/>
            </w:tcBorders>
            <w:shd w:val="pct12" w:color="000000" w:fill="FFFFFF"/>
            <w:noWrap/>
            <w:vAlign w:val="center"/>
            <w:hideMark/>
          </w:tcPr>
          <w:p w:rsidR="00221487" w:rsidRPr="00221487" w:rsidRDefault="00221487" w:rsidP="00221487">
            <w:pPr>
              <w:spacing w:after="0" w:line="240" w:lineRule="auto"/>
              <w:jc w:val="center"/>
              <w:rPr>
                <w:rFonts w:ascii="Times New Roman" w:eastAsia="Times New Roman" w:hAnsi="Times New Roman" w:cs="Times New Roman"/>
                <w:b/>
                <w:bCs/>
                <w:i/>
                <w:iCs/>
                <w:noProof/>
                <w:color w:val="000000"/>
                <w:lang w:val="sq-AL"/>
              </w:rPr>
            </w:pPr>
            <w:r w:rsidRPr="00221487">
              <w:rPr>
                <w:rFonts w:ascii="Times New Roman" w:eastAsia="Times New Roman" w:hAnsi="Times New Roman" w:cs="Times New Roman"/>
                <w:b/>
                <w:bCs/>
                <w:i/>
                <w:iCs/>
                <w:noProof/>
                <w:color w:val="000000"/>
                <w:lang w:val="sq-AL"/>
              </w:rPr>
              <w:t>28.9</w:t>
            </w:r>
          </w:p>
        </w:tc>
      </w:tr>
      <w:tr w:rsidR="00221487" w:rsidRPr="00221487" w:rsidTr="004342D7">
        <w:trPr>
          <w:trHeight w:val="416"/>
        </w:trPr>
        <w:tc>
          <w:tcPr>
            <w:tcW w:w="1620" w:type="dxa"/>
            <w:tcBorders>
              <w:top w:val="nil"/>
              <w:left w:val="single" w:sz="8" w:space="0" w:color="auto"/>
              <w:bottom w:val="single" w:sz="8" w:space="0" w:color="auto"/>
              <w:right w:val="nil"/>
            </w:tcBorders>
            <w:shd w:val="pct12" w:color="000000" w:fill="FFFFFF"/>
            <w:noWrap/>
            <w:vAlign w:val="center"/>
            <w:hideMark/>
          </w:tcPr>
          <w:p w:rsidR="00221487" w:rsidRPr="00221487" w:rsidRDefault="00221487" w:rsidP="00221487">
            <w:pPr>
              <w:spacing w:after="0" w:line="240" w:lineRule="auto"/>
              <w:rPr>
                <w:rFonts w:ascii="Times New Roman" w:eastAsia="Times New Roman" w:hAnsi="Times New Roman" w:cs="Times New Roman"/>
                <w:b/>
                <w:bCs/>
                <w:i/>
                <w:iCs/>
                <w:noProof/>
                <w:color w:val="000000"/>
                <w:lang w:val="sq-AL"/>
              </w:rPr>
            </w:pPr>
            <w:r w:rsidRPr="00221487">
              <w:rPr>
                <w:rFonts w:ascii="Times New Roman" w:eastAsia="Times New Roman" w:hAnsi="Times New Roman" w:cs="Times New Roman"/>
                <w:b/>
                <w:bCs/>
                <w:i/>
                <w:iCs/>
                <w:noProof/>
                <w:color w:val="000000"/>
                <w:lang w:val="sq-AL"/>
              </w:rPr>
              <w:t>Balanca e përgjithshme</w:t>
            </w:r>
          </w:p>
        </w:tc>
        <w:tc>
          <w:tcPr>
            <w:tcW w:w="1127" w:type="dxa"/>
            <w:tcBorders>
              <w:top w:val="nil"/>
              <w:left w:val="single" w:sz="4" w:space="0" w:color="auto"/>
              <w:bottom w:val="single" w:sz="8" w:space="0" w:color="auto"/>
              <w:right w:val="nil"/>
            </w:tcBorders>
            <w:shd w:val="pct12" w:color="000000" w:fill="FFFFFF"/>
            <w:noWrap/>
            <w:vAlign w:val="center"/>
            <w:hideMark/>
          </w:tcPr>
          <w:p w:rsidR="00221487" w:rsidRPr="00221487" w:rsidRDefault="00221487" w:rsidP="00221487">
            <w:pPr>
              <w:spacing w:after="0" w:line="240" w:lineRule="auto"/>
              <w:jc w:val="center"/>
              <w:rPr>
                <w:rFonts w:ascii="Times New Roman" w:eastAsia="Times New Roman" w:hAnsi="Times New Roman" w:cs="Times New Roman"/>
                <w:b/>
                <w:bCs/>
                <w:i/>
                <w:iCs/>
                <w:noProof/>
                <w:color w:val="000000"/>
                <w:lang w:val="sq-AL"/>
              </w:rPr>
            </w:pPr>
            <w:r w:rsidRPr="00221487">
              <w:rPr>
                <w:rFonts w:ascii="Times New Roman" w:eastAsia="Times New Roman" w:hAnsi="Times New Roman" w:cs="Times New Roman"/>
                <w:b/>
                <w:bCs/>
                <w:i/>
                <w:iCs/>
                <w:noProof/>
                <w:color w:val="000000"/>
                <w:lang w:val="sq-AL"/>
              </w:rPr>
              <w:t>-58,202</w:t>
            </w:r>
          </w:p>
        </w:tc>
        <w:tc>
          <w:tcPr>
            <w:tcW w:w="692" w:type="dxa"/>
            <w:tcBorders>
              <w:top w:val="nil"/>
              <w:left w:val="nil"/>
              <w:bottom w:val="single" w:sz="8" w:space="0" w:color="auto"/>
              <w:right w:val="nil"/>
            </w:tcBorders>
            <w:shd w:val="pct12" w:color="000000" w:fill="FFFFFF"/>
            <w:noWrap/>
            <w:vAlign w:val="center"/>
            <w:hideMark/>
          </w:tcPr>
          <w:p w:rsidR="00221487" w:rsidRPr="00221487" w:rsidRDefault="00221487" w:rsidP="00221487">
            <w:pPr>
              <w:spacing w:after="0" w:line="240" w:lineRule="auto"/>
              <w:jc w:val="center"/>
              <w:rPr>
                <w:rFonts w:ascii="Times New Roman" w:eastAsia="Times New Roman" w:hAnsi="Times New Roman" w:cs="Times New Roman"/>
                <w:i/>
                <w:iCs/>
                <w:noProof/>
                <w:color w:val="000000"/>
                <w:lang w:val="sq-AL"/>
              </w:rPr>
            </w:pPr>
            <w:r w:rsidRPr="00221487">
              <w:rPr>
                <w:rFonts w:ascii="Times New Roman" w:eastAsia="Times New Roman" w:hAnsi="Times New Roman" w:cs="Times New Roman"/>
                <w:i/>
                <w:iCs/>
                <w:noProof/>
                <w:color w:val="000000"/>
                <w:lang w:val="sq-AL"/>
              </w:rPr>
              <w:t>4.1</w:t>
            </w:r>
          </w:p>
        </w:tc>
        <w:tc>
          <w:tcPr>
            <w:tcW w:w="1061" w:type="dxa"/>
            <w:tcBorders>
              <w:top w:val="nil"/>
              <w:left w:val="single" w:sz="4" w:space="0" w:color="auto"/>
              <w:bottom w:val="single" w:sz="8" w:space="0" w:color="auto"/>
              <w:right w:val="nil"/>
            </w:tcBorders>
            <w:shd w:val="pct12" w:color="000000" w:fill="FFFFFF"/>
            <w:noWrap/>
            <w:vAlign w:val="center"/>
            <w:hideMark/>
          </w:tcPr>
          <w:p w:rsidR="00221487" w:rsidRPr="00221487" w:rsidRDefault="00221487" w:rsidP="00221487">
            <w:pPr>
              <w:spacing w:after="0" w:line="240" w:lineRule="auto"/>
              <w:jc w:val="center"/>
              <w:rPr>
                <w:rFonts w:ascii="Times New Roman" w:eastAsia="Times New Roman" w:hAnsi="Times New Roman" w:cs="Times New Roman"/>
                <w:b/>
                <w:bCs/>
                <w:i/>
                <w:iCs/>
                <w:noProof/>
                <w:color w:val="000000"/>
                <w:lang w:val="sq-AL"/>
              </w:rPr>
            </w:pPr>
            <w:r w:rsidRPr="00221487">
              <w:rPr>
                <w:rFonts w:ascii="Times New Roman" w:eastAsia="Times New Roman" w:hAnsi="Times New Roman" w:cs="Times New Roman"/>
                <w:b/>
                <w:bCs/>
                <w:i/>
                <w:iCs/>
                <w:noProof/>
                <w:color w:val="000000"/>
                <w:lang w:val="sq-AL"/>
              </w:rPr>
              <w:t>-26,676</w:t>
            </w:r>
          </w:p>
        </w:tc>
        <w:tc>
          <w:tcPr>
            <w:tcW w:w="864" w:type="dxa"/>
            <w:tcBorders>
              <w:top w:val="nil"/>
              <w:left w:val="nil"/>
              <w:bottom w:val="single" w:sz="8" w:space="0" w:color="auto"/>
              <w:right w:val="single" w:sz="4" w:space="0" w:color="auto"/>
            </w:tcBorders>
            <w:shd w:val="pct12" w:color="000000" w:fill="FFFFFF"/>
            <w:noWrap/>
            <w:vAlign w:val="center"/>
            <w:hideMark/>
          </w:tcPr>
          <w:p w:rsidR="00221487" w:rsidRPr="00221487" w:rsidRDefault="00221487" w:rsidP="00221487">
            <w:pPr>
              <w:spacing w:after="0" w:line="240" w:lineRule="auto"/>
              <w:jc w:val="center"/>
              <w:rPr>
                <w:rFonts w:ascii="Times New Roman" w:eastAsia="Times New Roman" w:hAnsi="Times New Roman" w:cs="Times New Roman"/>
                <w:i/>
                <w:iCs/>
                <w:noProof/>
                <w:color w:val="000000"/>
                <w:lang w:val="sq-AL"/>
              </w:rPr>
            </w:pPr>
            <w:r w:rsidRPr="00221487">
              <w:rPr>
                <w:rFonts w:ascii="Times New Roman" w:eastAsia="Times New Roman" w:hAnsi="Times New Roman" w:cs="Times New Roman"/>
                <w:i/>
                <w:iCs/>
                <w:noProof/>
                <w:color w:val="000000"/>
                <w:lang w:val="sq-AL"/>
              </w:rPr>
              <w:t>1.8</w:t>
            </w:r>
          </w:p>
        </w:tc>
        <w:tc>
          <w:tcPr>
            <w:tcW w:w="1296" w:type="dxa"/>
            <w:tcBorders>
              <w:top w:val="nil"/>
              <w:left w:val="nil"/>
              <w:bottom w:val="single" w:sz="8" w:space="0" w:color="auto"/>
              <w:right w:val="nil"/>
            </w:tcBorders>
            <w:shd w:val="pct12" w:color="000000" w:fill="FFFFFF"/>
            <w:noWrap/>
            <w:vAlign w:val="center"/>
            <w:hideMark/>
          </w:tcPr>
          <w:p w:rsidR="00221487" w:rsidRPr="00221487" w:rsidRDefault="00221487" w:rsidP="00221487">
            <w:pPr>
              <w:spacing w:after="0" w:line="240" w:lineRule="auto"/>
              <w:jc w:val="center"/>
              <w:rPr>
                <w:rFonts w:ascii="Times New Roman" w:eastAsia="Times New Roman" w:hAnsi="Times New Roman" w:cs="Times New Roman"/>
                <w:b/>
                <w:bCs/>
                <w:i/>
                <w:iCs/>
                <w:noProof/>
                <w:color w:val="000000"/>
                <w:lang w:val="sq-AL"/>
              </w:rPr>
            </w:pPr>
            <w:r w:rsidRPr="00221487">
              <w:rPr>
                <w:rFonts w:ascii="Times New Roman" w:eastAsia="Times New Roman" w:hAnsi="Times New Roman" w:cs="Times New Roman"/>
                <w:b/>
                <w:bCs/>
                <w:i/>
                <w:iCs/>
                <w:noProof/>
                <w:color w:val="000000"/>
                <w:lang w:val="sq-AL"/>
              </w:rPr>
              <w:t>-31,012</w:t>
            </w:r>
          </w:p>
        </w:tc>
        <w:tc>
          <w:tcPr>
            <w:tcW w:w="900" w:type="dxa"/>
            <w:tcBorders>
              <w:top w:val="nil"/>
              <w:left w:val="nil"/>
              <w:bottom w:val="single" w:sz="8" w:space="0" w:color="auto"/>
              <w:right w:val="single" w:sz="4" w:space="0" w:color="auto"/>
            </w:tcBorders>
            <w:shd w:val="pct12" w:color="000000" w:fill="FFFFFF"/>
            <w:noWrap/>
            <w:vAlign w:val="center"/>
            <w:hideMark/>
          </w:tcPr>
          <w:p w:rsidR="00221487" w:rsidRPr="00221487" w:rsidRDefault="00221487" w:rsidP="00221487">
            <w:pPr>
              <w:spacing w:after="0" w:line="240" w:lineRule="auto"/>
              <w:jc w:val="center"/>
              <w:rPr>
                <w:rFonts w:ascii="Times New Roman" w:eastAsia="Times New Roman" w:hAnsi="Times New Roman" w:cs="Times New Roman"/>
                <w:b/>
                <w:bCs/>
                <w:i/>
                <w:iCs/>
                <w:noProof/>
                <w:color w:val="000000"/>
                <w:lang w:val="sq-AL"/>
              </w:rPr>
            </w:pPr>
            <w:r w:rsidRPr="00221487">
              <w:rPr>
                <w:rFonts w:ascii="Times New Roman" w:eastAsia="Times New Roman" w:hAnsi="Times New Roman" w:cs="Times New Roman"/>
                <w:b/>
                <w:bCs/>
                <w:i/>
                <w:iCs/>
                <w:noProof/>
                <w:color w:val="000000"/>
                <w:lang w:val="sq-AL"/>
              </w:rPr>
              <w:t>2</w:t>
            </w:r>
          </w:p>
        </w:tc>
        <w:tc>
          <w:tcPr>
            <w:tcW w:w="1260" w:type="dxa"/>
            <w:tcBorders>
              <w:top w:val="nil"/>
              <w:left w:val="nil"/>
              <w:bottom w:val="single" w:sz="8" w:space="0" w:color="auto"/>
              <w:right w:val="nil"/>
            </w:tcBorders>
            <w:shd w:val="pct12" w:color="000000" w:fill="FFFFFF"/>
            <w:noWrap/>
            <w:vAlign w:val="center"/>
            <w:hideMark/>
          </w:tcPr>
          <w:p w:rsidR="00221487" w:rsidRPr="00221487" w:rsidRDefault="00221487" w:rsidP="00221487">
            <w:pPr>
              <w:spacing w:after="0" w:line="240" w:lineRule="auto"/>
              <w:jc w:val="center"/>
              <w:rPr>
                <w:rFonts w:ascii="Times New Roman" w:eastAsia="Times New Roman" w:hAnsi="Times New Roman" w:cs="Times New Roman"/>
                <w:b/>
                <w:bCs/>
                <w:i/>
                <w:iCs/>
                <w:noProof/>
                <w:color w:val="000000"/>
                <w:lang w:val="sq-AL"/>
              </w:rPr>
            </w:pPr>
            <w:r w:rsidRPr="00221487">
              <w:rPr>
                <w:rFonts w:ascii="Times New Roman" w:eastAsia="Times New Roman" w:hAnsi="Times New Roman" w:cs="Times New Roman"/>
                <w:b/>
                <w:bCs/>
                <w:i/>
                <w:iCs/>
                <w:noProof/>
                <w:color w:val="000000"/>
                <w:lang w:val="sq-AL"/>
              </w:rPr>
              <w:t>-26,673</w:t>
            </w:r>
          </w:p>
        </w:tc>
        <w:tc>
          <w:tcPr>
            <w:tcW w:w="720" w:type="dxa"/>
            <w:tcBorders>
              <w:top w:val="nil"/>
              <w:left w:val="nil"/>
              <w:bottom w:val="single" w:sz="8" w:space="0" w:color="auto"/>
              <w:right w:val="single" w:sz="8" w:space="0" w:color="auto"/>
            </w:tcBorders>
            <w:shd w:val="pct12" w:color="000000" w:fill="FFFFFF"/>
            <w:noWrap/>
            <w:vAlign w:val="center"/>
            <w:hideMark/>
          </w:tcPr>
          <w:p w:rsidR="00221487" w:rsidRPr="00221487" w:rsidRDefault="00221487" w:rsidP="00221487">
            <w:pPr>
              <w:spacing w:after="0" w:line="240" w:lineRule="auto"/>
              <w:jc w:val="center"/>
              <w:rPr>
                <w:rFonts w:ascii="Times New Roman" w:eastAsia="Times New Roman" w:hAnsi="Times New Roman" w:cs="Times New Roman"/>
                <w:b/>
                <w:bCs/>
                <w:i/>
                <w:iCs/>
                <w:noProof/>
                <w:color w:val="000000"/>
                <w:lang w:val="sq-AL"/>
              </w:rPr>
            </w:pPr>
            <w:r w:rsidRPr="00221487">
              <w:rPr>
                <w:rFonts w:ascii="Times New Roman" w:eastAsia="Times New Roman" w:hAnsi="Times New Roman" w:cs="Times New Roman"/>
                <w:b/>
                <w:bCs/>
                <w:i/>
                <w:iCs/>
                <w:noProof/>
                <w:color w:val="000000"/>
                <w:lang w:val="sq-AL"/>
              </w:rPr>
              <w:t>-1.6</w:t>
            </w:r>
          </w:p>
        </w:tc>
      </w:tr>
    </w:tbl>
    <w:p w:rsidR="00221487" w:rsidRPr="00221487" w:rsidRDefault="00221487" w:rsidP="00221487">
      <w:pPr>
        <w:spacing w:after="0" w:line="240" w:lineRule="auto"/>
        <w:jc w:val="both"/>
        <w:rPr>
          <w:rFonts w:ascii="Times New Roman" w:eastAsia="Times" w:hAnsi="Times New Roman" w:cs="Times New Roman"/>
          <w:b/>
          <w:bCs/>
          <w:i/>
          <w:noProof/>
          <w:lang w:val="sq-AL"/>
        </w:rPr>
      </w:pPr>
      <w:r w:rsidRPr="00221487">
        <w:rPr>
          <w:rFonts w:ascii="Times New Roman" w:eastAsia="Times New Roman" w:hAnsi="Times New Roman" w:cs="Times New Roman"/>
          <w:i/>
          <w:noProof/>
          <w:lang w:val="sq-AL" w:eastAsia="en-GB"/>
        </w:rPr>
        <w:fldChar w:fldCharType="end"/>
      </w:r>
      <w:r w:rsidRPr="00221487">
        <w:rPr>
          <w:rFonts w:ascii="Times New Roman" w:eastAsia="Times" w:hAnsi="Times New Roman" w:cs="Times New Roman"/>
          <w:i/>
          <w:noProof/>
          <w:lang w:val="sq-AL"/>
        </w:rPr>
        <w:t xml:space="preserve"> Burimi: Ministria e Financave dhe Ekonomisë, Kuadri Fiskal dhe Makroekonomik 2020-2022(janar 2019)</w:t>
      </w:r>
    </w:p>
    <w:p w:rsidR="00221487" w:rsidRPr="00221487" w:rsidRDefault="00221487" w:rsidP="00221487">
      <w:pPr>
        <w:spacing w:after="0" w:line="240" w:lineRule="auto"/>
        <w:jc w:val="both"/>
        <w:rPr>
          <w:rFonts w:ascii="Times New Roman" w:eastAsia="Times" w:hAnsi="Times New Roman" w:cs="Times New Roman"/>
          <w:noProof/>
          <w:lang w:val="sq-AL"/>
        </w:rPr>
      </w:pPr>
    </w:p>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Aktiviteti ekonomik në Shqipëri është përshpejtuar vitet e fundit.  PBB është rritur me mesatarisht 4.3% gjatë tre tremujorëve të parë të vitit 2018, pra është rritur në krahasim me 3.8% që ishte në vitin 2017 dhe 3.4% që ishte në vitin 2016. Ekonomia mbështetet nga kushte të favorshme financimi, The economy is supported by favourable financing conditions, hyrja e investimeve të huaja direkte (IHD), besim i lartë i biznesit dhe përmirësimi i mjedisit të jashtëm. Rënia e papunësisë dhe rritja e niveleve të përdorimit të kapaciteteve sugjerojnë që ekonomia po i afrohet potencialit të saj.</w:t>
      </w:r>
    </w:p>
    <w:p w:rsidR="00221487" w:rsidRPr="00221487" w:rsidRDefault="00221487" w:rsidP="00221487">
      <w:pPr>
        <w:spacing w:after="0" w:line="240" w:lineRule="auto"/>
        <w:jc w:val="both"/>
        <w:rPr>
          <w:rFonts w:ascii="Times New Roman" w:eastAsia="Times" w:hAnsi="Times New Roman" w:cs="Times New Roman"/>
          <w:noProof/>
          <w:lang w:val="sq-AL"/>
        </w:rPr>
      </w:pPr>
    </w:p>
    <w:p w:rsidR="00221487" w:rsidRPr="00221487" w:rsidRDefault="00221487" w:rsidP="007C6F79">
      <w:pPr>
        <w:numPr>
          <w:ilvl w:val="0"/>
          <w:numId w:val="28"/>
        </w:numPr>
        <w:autoSpaceDE w:val="0"/>
        <w:autoSpaceDN w:val="0"/>
        <w:adjustRightInd w:val="0"/>
        <w:spacing w:after="0" w:line="240" w:lineRule="auto"/>
        <w:contextualSpacing/>
        <w:jc w:val="both"/>
        <w:rPr>
          <w:rFonts w:ascii="Times New Roman" w:eastAsia="Times New Roman" w:hAnsi="Times New Roman" w:cs="Times New Roman"/>
          <w:noProof/>
          <w:lang w:val="sq-AL" w:eastAsia="en-GB"/>
        </w:rPr>
      </w:pPr>
      <w:r w:rsidRPr="00221487">
        <w:rPr>
          <w:rFonts w:ascii="Times New Roman" w:eastAsia="Times New Roman" w:hAnsi="Times New Roman" w:cs="Times New Roman"/>
          <w:noProof/>
          <w:lang w:val="sq-AL" w:eastAsia="en-GB"/>
        </w:rPr>
        <w:t>Treguesit e tregut të punës janë përmirësuar gradualisht. Punësimi u rrit përkatësisht me 4.9%, 3.3% dhe 2.3% në tre tremujorët e parë të 2018 dhe shkalla e papunësisë ka rënë vazhdimisht duke qëndruar në 12.2% në tremujorin e tretë, duke iu referuar individëve 15 vjeç e lart. (Instituti i Statistikave- INSTAT).</w:t>
      </w:r>
    </w:p>
    <w:p w:rsidR="00221487" w:rsidRPr="00221487" w:rsidRDefault="00221487" w:rsidP="007C6F79">
      <w:pPr>
        <w:numPr>
          <w:ilvl w:val="0"/>
          <w:numId w:val="28"/>
        </w:numPr>
        <w:autoSpaceDE w:val="0"/>
        <w:autoSpaceDN w:val="0"/>
        <w:adjustRightInd w:val="0"/>
        <w:spacing w:after="0" w:line="240" w:lineRule="auto"/>
        <w:contextualSpacing/>
        <w:jc w:val="both"/>
        <w:rPr>
          <w:rFonts w:ascii="Times New Roman" w:eastAsia="Times New Roman" w:hAnsi="Times New Roman" w:cs="Times New Roman"/>
          <w:noProof/>
          <w:lang w:val="sq-AL" w:eastAsia="en-GB"/>
        </w:rPr>
      </w:pPr>
      <w:r w:rsidRPr="00221487">
        <w:rPr>
          <w:rFonts w:ascii="Times New Roman" w:eastAsia="Times New Roman" w:hAnsi="Times New Roman" w:cs="Times New Roman"/>
          <w:noProof/>
          <w:lang w:val="sq-AL" w:eastAsia="en-GB"/>
        </w:rPr>
        <w:t>Investimet e huaja direkte neto janë rritur me 1.2% në terma vjetorë të përgjithshëm gjatë nëntë muajve të parë të 2018. Rritja u përqendrua kryesisht në tremujorin e parë të vitit. IHD-të shoqërohen me projektet kryesore në sektorin e energjisë.</w:t>
      </w:r>
    </w:p>
    <w:p w:rsidR="00221487" w:rsidRPr="00221487" w:rsidRDefault="00221487" w:rsidP="007C6F79">
      <w:pPr>
        <w:numPr>
          <w:ilvl w:val="0"/>
          <w:numId w:val="28"/>
        </w:numPr>
        <w:autoSpaceDE w:val="0"/>
        <w:autoSpaceDN w:val="0"/>
        <w:adjustRightInd w:val="0"/>
        <w:spacing w:after="0" w:line="240" w:lineRule="auto"/>
        <w:contextualSpacing/>
        <w:jc w:val="both"/>
        <w:rPr>
          <w:rFonts w:ascii="Times New Roman" w:eastAsia="Times New Roman" w:hAnsi="Times New Roman" w:cs="Times New Roman"/>
          <w:noProof/>
          <w:lang w:val="sq-AL" w:eastAsia="en-GB"/>
        </w:rPr>
      </w:pPr>
      <w:r w:rsidRPr="00221487">
        <w:rPr>
          <w:rFonts w:ascii="Times New Roman" w:eastAsia="Times New Roman" w:hAnsi="Times New Roman" w:cs="Times New Roman"/>
          <w:noProof/>
          <w:lang w:val="sq-AL" w:eastAsia="en-GB"/>
        </w:rPr>
        <w:t>Norma mesatare e inflacionit për vitin 2018 ishte 2.0%.</w:t>
      </w:r>
    </w:p>
    <w:p w:rsidR="00221487" w:rsidRPr="00221487" w:rsidRDefault="00221487" w:rsidP="007C6F79">
      <w:pPr>
        <w:numPr>
          <w:ilvl w:val="0"/>
          <w:numId w:val="28"/>
        </w:numPr>
        <w:autoSpaceDE w:val="0"/>
        <w:autoSpaceDN w:val="0"/>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Eksporti i mallrave për periudhën janar - dhjetor 2018 u rrit me </w:t>
      </w:r>
      <w:r w:rsidRPr="00221487">
        <w:rPr>
          <w:rFonts w:ascii="Times New Roman" w:eastAsia="Times New Roman" w:hAnsi="Times New Roman" w:cs="Times New Roman"/>
          <w:b/>
          <w:bCs/>
          <w:noProof/>
          <w:lang w:val="sq-AL"/>
        </w:rPr>
        <w:t>13.7%</w:t>
      </w:r>
      <w:r w:rsidRPr="00221487">
        <w:rPr>
          <w:rFonts w:ascii="Times New Roman" w:eastAsia="Times New Roman" w:hAnsi="Times New Roman" w:cs="Times New Roman"/>
          <w:noProof/>
          <w:lang w:val="sq-AL"/>
        </w:rPr>
        <w:t xml:space="preserve"> krahasuar me janar – dhjetor 2017.  Importi i mallrave për janar – dhjetor 2018 u rrit me </w:t>
      </w:r>
      <w:r w:rsidRPr="00221487">
        <w:rPr>
          <w:rFonts w:ascii="Times New Roman" w:eastAsia="Times New Roman" w:hAnsi="Times New Roman" w:cs="Times New Roman"/>
          <w:b/>
          <w:bCs/>
          <w:noProof/>
          <w:lang w:val="sq-AL"/>
        </w:rPr>
        <w:t>2.4%</w:t>
      </w:r>
      <w:r w:rsidRPr="00221487">
        <w:rPr>
          <w:rFonts w:ascii="Times New Roman" w:eastAsia="Times New Roman" w:hAnsi="Times New Roman" w:cs="Times New Roman"/>
          <w:noProof/>
          <w:lang w:val="sq-AL"/>
        </w:rPr>
        <w:t xml:space="preserve"> krahasuar me janar – dhjetor 2017.</w:t>
      </w:r>
    </w:p>
    <w:p w:rsidR="00221487" w:rsidRPr="00221487" w:rsidRDefault="00221487" w:rsidP="00221487">
      <w:pPr>
        <w:autoSpaceDE w:val="0"/>
        <w:autoSpaceDN w:val="0"/>
        <w:adjustRightInd w:val="0"/>
        <w:spacing w:after="0" w:line="240" w:lineRule="auto"/>
        <w:ind w:left="720"/>
        <w:contextualSpacing/>
        <w:jc w:val="both"/>
        <w:rPr>
          <w:rFonts w:ascii="Times New Roman" w:eastAsia="Times New Roman" w:hAnsi="Times New Roman" w:cs="Times New Roman"/>
          <w:noProof/>
          <w:lang w:val="sq-AL" w:eastAsia="en-GB"/>
        </w:rPr>
      </w:pPr>
    </w:p>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Ministria e Financave dhe Ekonomisë (MFE) ka nxjerrë parashikimet e mëposhtme për treguesit kryesorë ekonomikë për periudhën 2018 – 2022:</w:t>
      </w:r>
    </w:p>
    <w:p w:rsidR="00221487" w:rsidRPr="00221487" w:rsidRDefault="00221487" w:rsidP="00221487">
      <w:pPr>
        <w:autoSpaceDE w:val="0"/>
        <w:autoSpaceDN w:val="0"/>
        <w:adjustRightInd w:val="0"/>
        <w:spacing w:after="0" w:line="240" w:lineRule="auto"/>
        <w:jc w:val="both"/>
        <w:rPr>
          <w:rFonts w:ascii="Times New Roman" w:eastAsia="Times New Roman" w:hAnsi="Times New Roman" w:cs="Times New Roman"/>
          <w:noProof/>
          <w:lang w:val="sq-AL" w:eastAsia="en-GB"/>
        </w:rPr>
      </w:pPr>
    </w:p>
    <w:p w:rsidR="00221487" w:rsidRPr="00221487" w:rsidRDefault="00221487" w:rsidP="00221487">
      <w:pPr>
        <w:spacing w:after="0" w:line="240" w:lineRule="auto"/>
        <w:jc w:val="both"/>
        <w:rPr>
          <w:rFonts w:ascii="Times New Roman" w:eastAsia="Times" w:hAnsi="Times New Roman" w:cs="Times New Roman"/>
          <w:b/>
          <w:noProof/>
          <w:lang w:val="sq-AL"/>
        </w:rPr>
      </w:pPr>
      <w:r w:rsidRPr="00221487">
        <w:rPr>
          <w:rFonts w:ascii="Times New Roman" w:eastAsia="Times" w:hAnsi="Times New Roman" w:cs="Times New Roman"/>
          <w:b/>
          <w:noProof/>
          <w:lang w:val="sq-AL"/>
        </w:rPr>
        <w:t xml:space="preserve">Table nr. 2: Parashikimet për treguest kryesorë ekonomikë për vitet 2017 – 2021 </w:t>
      </w:r>
    </w:p>
    <w:p w:rsidR="00221487" w:rsidRPr="00221487" w:rsidRDefault="00221487" w:rsidP="00221487">
      <w:pPr>
        <w:spacing w:after="0" w:line="240" w:lineRule="auto"/>
        <w:jc w:val="both"/>
        <w:rPr>
          <w:rFonts w:ascii="Times New Roman" w:eastAsia="Times New Roman" w:hAnsi="Times New Roman" w:cs="Times New Roman"/>
          <w:noProof/>
          <w:sz w:val="20"/>
          <w:szCs w:val="20"/>
          <w:lang w:val="sq-AL" w:eastAsia="en-GB"/>
        </w:rPr>
      </w:pPr>
      <w:r w:rsidRPr="00221487">
        <w:rPr>
          <w:rFonts w:ascii="Times New Roman" w:eastAsia="Times" w:hAnsi="Times New Roman" w:cs="Times New Roman"/>
          <w:noProof/>
          <w:lang w:val="sq-AL"/>
        </w:rPr>
        <w:fldChar w:fldCharType="begin"/>
      </w:r>
      <w:r w:rsidRPr="00221487">
        <w:rPr>
          <w:rFonts w:ascii="Times New Roman" w:eastAsia="Times" w:hAnsi="Times New Roman" w:cs="Times New Roman"/>
          <w:noProof/>
          <w:lang w:val="sq-AL"/>
        </w:rPr>
        <w:instrText xml:space="preserve"> LINK Excel.Sheet.12 Book1 Sheet2!R5C2:R12C7 \a \f 4 \h  \* MERGEFORMAT </w:instrText>
      </w:r>
      <w:r w:rsidRPr="00221487">
        <w:rPr>
          <w:rFonts w:ascii="Times New Roman" w:eastAsia="Times" w:hAnsi="Times New Roman" w:cs="Times New Roman"/>
          <w:noProof/>
          <w:lang w:val="sq-AL"/>
        </w:rPr>
        <w:fldChar w:fldCharType="separate"/>
      </w:r>
    </w:p>
    <w:tbl>
      <w:tblPr>
        <w:tblW w:w="9152" w:type="dxa"/>
        <w:tblInd w:w="378" w:type="dxa"/>
        <w:shd w:val="pct10" w:color="000000" w:fill="FFFFFF"/>
        <w:tblLook w:val="04A0" w:firstRow="1" w:lastRow="0" w:firstColumn="1" w:lastColumn="0" w:noHBand="0" w:noVBand="1"/>
      </w:tblPr>
      <w:tblGrid>
        <w:gridCol w:w="3150"/>
        <w:gridCol w:w="1320"/>
        <w:gridCol w:w="990"/>
        <w:gridCol w:w="1349"/>
        <w:gridCol w:w="724"/>
        <w:gridCol w:w="1619"/>
      </w:tblGrid>
      <w:tr w:rsidR="00221487" w:rsidRPr="00221487" w:rsidTr="004342D7">
        <w:trPr>
          <w:trHeight w:val="402"/>
        </w:trPr>
        <w:tc>
          <w:tcPr>
            <w:tcW w:w="3150" w:type="dxa"/>
            <w:tcBorders>
              <w:top w:val="single" w:sz="8" w:space="0" w:color="auto"/>
              <w:left w:val="single" w:sz="8" w:space="0" w:color="auto"/>
              <w:bottom w:val="nil"/>
              <w:right w:val="nil"/>
            </w:tcBorders>
            <w:shd w:val="pct10" w:color="000000" w:fill="FFFFFF"/>
            <w:noWrap/>
            <w:vAlign w:val="center"/>
            <w:hideMark/>
          </w:tcPr>
          <w:p w:rsidR="00221487" w:rsidRPr="00221487" w:rsidRDefault="00221487" w:rsidP="00221487">
            <w:pPr>
              <w:spacing w:after="0" w:line="240" w:lineRule="auto"/>
              <w:jc w:val="center"/>
              <w:rPr>
                <w:rFonts w:ascii="Times New Roman" w:eastAsia="Times New Roman" w:hAnsi="Times New Roman" w:cs="Times New Roman"/>
                <w:noProof/>
                <w:color w:val="000000"/>
                <w:szCs w:val="20"/>
                <w:lang w:val="sq-AL"/>
              </w:rPr>
            </w:pPr>
            <w:r w:rsidRPr="00221487">
              <w:rPr>
                <w:rFonts w:ascii="Times New Roman" w:eastAsia="Times New Roman" w:hAnsi="Times New Roman" w:cs="Times New Roman"/>
                <w:noProof/>
                <w:color w:val="000000"/>
                <w:szCs w:val="20"/>
                <w:lang w:val="sq-AL"/>
              </w:rPr>
              <w:t> </w:t>
            </w:r>
          </w:p>
        </w:tc>
        <w:tc>
          <w:tcPr>
            <w:tcW w:w="1322" w:type="dxa"/>
            <w:tcBorders>
              <w:top w:val="single" w:sz="8" w:space="0" w:color="auto"/>
              <w:left w:val="nil"/>
              <w:bottom w:val="single" w:sz="8" w:space="0" w:color="auto"/>
              <w:right w:val="nil"/>
            </w:tcBorders>
            <w:shd w:val="pct10" w:color="000000" w:fill="FFFFFF"/>
            <w:vAlign w:val="center"/>
            <w:hideMark/>
          </w:tcPr>
          <w:p w:rsidR="00221487" w:rsidRPr="00221487" w:rsidRDefault="00221487" w:rsidP="00221487">
            <w:pPr>
              <w:spacing w:after="0" w:line="240" w:lineRule="auto"/>
              <w:jc w:val="center"/>
              <w:rPr>
                <w:rFonts w:ascii="Times New Roman" w:eastAsia="Times New Roman" w:hAnsi="Times New Roman" w:cs="Times New Roman"/>
                <w:b/>
                <w:bCs/>
                <w:noProof/>
                <w:lang w:val="sq-AL"/>
              </w:rPr>
            </w:pPr>
            <w:r w:rsidRPr="00221487">
              <w:rPr>
                <w:rFonts w:ascii="Times New Roman" w:eastAsia="Times New Roman" w:hAnsi="Times New Roman" w:cs="Times New Roman"/>
                <w:b/>
                <w:bCs/>
                <w:noProof/>
                <w:lang w:val="sq-AL"/>
              </w:rPr>
              <w:t>2018</w:t>
            </w:r>
          </w:p>
        </w:tc>
        <w:tc>
          <w:tcPr>
            <w:tcW w:w="990" w:type="dxa"/>
            <w:tcBorders>
              <w:top w:val="single" w:sz="8" w:space="0" w:color="auto"/>
              <w:left w:val="nil"/>
              <w:bottom w:val="single" w:sz="8" w:space="0" w:color="auto"/>
              <w:right w:val="nil"/>
            </w:tcBorders>
            <w:shd w:val="pct10" w:color="000000" w:fill="FFFFFF"/>
            <w:vAlign w:val="center"/>
            <w:hideMark/>
          </w:tcPr>
          <w:p w:rsidR="00221487" w:rsidRPr="00221487" w:rsidRDefault="00221487" w:rsidP="00221487">
            <w:pPr>
              <w:spacing w:after="0" w:line="240" w:lineRule="auto"/>
              <w:jc w:val="center"/>
              <w:rPr>
                <w:rFonts w:ascii="Times New Roman" w:eastAsia="Times New Roman" w:hAnsi="Times New Roman" w:cs="Times New Roman"/>
                <w:b/>
                <w:bCs/>
                <w:noProof/>
                <w:lang w:val="sq-AL"/>
              </w:rPr>
            </w:pPr>
            <w:r w:rsidRPr="00221487">
              <w:rPr>
                <w:rFonts w:ascii="Times New Roman" w:eastAsia="Times New Roman" w:hAnsi="Times New Roman" w:cs="Times New Roman"/>
                <w:b/>
                <w:bCs/>
                <w:noProof/>
                <w:lang w:val="sq-AL"/>
              </w:rPr>
              <w:t>2019</w:t>
            </w:r>
          </w:p>
        </w:tc>
        <w:tc>
          <w:tcPr>
            <w:tcW w:w="1350" w:type="dxa"/>
            <w:tcBorders>
              <w:top w:val="single" w:sz="8" w:space="0" w:color="auto"/>
              <w:left w:val="nil"/>
              <w:bottom w:val="single" w:sz="8" w:space="0" w:color="auto"/>
              <w:right w:val="nil"/>
            </w:tcBorders>
            <w:shd w:val="pct10" w:color="000000" w:fill="FFFFFF"/>
            <w:vAlign w:val="center"/>
            <w:hideMark/>
          </w:tcPr>
          <w:p w:rsidR="00221487" w:rsidRPr="00221487" w:rsidRDefault="00221487" w:rsidP="00221487">
            <w:pPr>
              <w:spacing w:after="0" w:line="240" w:lineRule="auto"/>
              <w:jc w:val="center"/>
              <w:rPr>
                <w:rFonts w:ascii="Times New Roman" w:eastAsia="Times New Roman" w:hAnsi="Times New Roman" w:cs="Times New Roman"/>
                <w:b/>
                <w:bCs/>
                <w:noProof/>
                <w:lang w:val="sq-AL"/>
              </w:rPr>
            </w:pPr>
            <w:r w:rsidRPr="00221487">
              <w:rPr>
                <w:rFonts w:ascii="Times New Roman" w:eastAsia="Times New Roman" w:hAnsi="Times New Roman" w:cs="Times New Roman"/>
                <w:b/>
                <w:bCs/>
                <w:noProof/>
                <w:lang w:val="sq-AL"/>
              </w:rPr>
              <w:t>2020</w:t>
            </w:r>
          </w:p>
        </w:tc>
        <w:tc>
          <w:tcPr>
            <w:tcW w:w="720" w:type="dxa"/>
            <w:tcBorders>
              <w:top w:val="single" w:sz="8" w:space="0" w:color="auto"/>
              <w:left w:val="nil"/>
              <w:bottom w:val="single" w:sz="8" w:space="0" w:color="auto"/>
              <w:right w:val="nil"/>
            </w:tcBorders>
            <w:shd w:val="pct10" w:color="000000" w:fill="FFFFFF"/>
            <w:vAlign w:val="center"/>
            <w:hideMark/>
          </w:tcPr>
          <w:p w:rsidR="00221487" w:rsidRPr="00221487" w:rsidRDefault="00221487" w:rsidP="00221487">
            <w:pPr>
              <w:spacing w:after="0" w:line="240" w:lineRule="auto"/>
              <w:jc w:val="center"/>
              <w:rPr>
                <w:rFonts w:ascii="Times New Roman" w:eastAsia="Times New Roman" w:hAnsi="Times New Roman" w:cs="Times New Roman"/>
                <w:b/>
                <w:bCs/>
                <w:noProof/>
                <w:lang w:val="sq-AL"/>
              </w:rPr>
            </w:pPr>
            <w:r w:rsidRPr="00221487">
              <w:rPr>
                <w:rFonts w:ascii="Times New Roman" w:eastAsia="Times New Roman" w:hAnsi="Times New Roman" w:cs="Times New Roman"/>
                <w:b/>
                <w:bCs/>
                <w:noProof/>
                <w:lang w:val="sq-AL"/>
              </w:rPr>
              <w:t>2021</w:t>
            </w:r>
          </w:p>
        </w:tc>
        <w:tc>
          <w:tcPr>
            <w:tcW w:w="1620" w:type="dxa"/>
            <w:tcBorders>
              <w:top w:val="single" w:sz="8" w:space="0" w:color="auto"/>
              <w:left w:val="nil"/>
              <w:bottom w:val="single" w:sz="8" w:space="0" w:color="auto"/>
              <w:right w:val="single" w:sz="8" w:space="0" w:color="auto"/>
            </w:tcBorders>
            <w:shd w:val="pct10" w:color="000000" w:fill="FFFFFF"/>
            <w:vAlign w:val="center"/>
            <w:hideMark/>
          </w:tcPr>
          <w:p w:rsidR="00221487" w:rsidRPr="00221487" w:rsidRDefault="00221487" w:rsidP="00221487">
            <w:pPr>
              <w:spacing w:after="0" w:line="240" w:lineRule="auto"/>
              <w:jc w:val="center"/>
              <w:rPr>
                <w:rFonts w:ascii="Times New Roman" w:eastAsia="Times New Roman" w:hAnsi="Times New Roman" w:cs="Times New Roman"/>
                <w:b/>
                <w:bCs/>
                <w:noProof/>
                <w:lang w:val="sq-AL"/>
              </w:rPr>
            </w:pPr>
            <w:r w:rsidRPr="00221487">
              <w:rPr>
                <w:rFonts w:ascii="Times New Roman" w:eastAsia="Times New Roman" w:hAnsi="Times New Roman" w:cs="Times New Roman"/>
                <w:b/>
                <w:bCs/>
                <w:noProof/>
                <w:lang w:val="sq-AL"/>
              </w:rPr>
              <w:t>2022</w:t>
            </w:r>
          </w:p>
        </w:tc>
      </w:tr>
      <w:tr w:rsidR="00221487" w:rsidRPr="00221487" w:rsidTr="004342D7">
        <w:trPr>
          <w:trHeight w:val="402"/>
        </w:trPr>
        <w:tc>
          <w:tcPr>
            <w:tcW w:w="3150" w:type="dxa"/>
            <w:tcBorders>
              <w:top w:val="nil"/>
              <w:left w:val="single" w:sz="8" w:space="0" w:color="auto"/>
              <w:bottom w:val="single" w:sz="4" w:space="0" w:color="auto"/>
              <w:right w:val="nil"/>
            </w:tcBorders>
            <w:shd w:val="pct10" w:color="000000" w:fill="FFFFFF"/>
            <w:noWrap/>
            <w:vAlign w:val="center"/>
            <w:hideMark/>
          </w:tcPr>
          <w:p w:rsidR="00221487" w:rsidRPr="00221487" w:rsidRDefault="00221487" w:rsidP="00221487">
            <w:pPr>
              <w:spacing w:after="0" w:line="240" w:lineRule="auto"/>
              <w:jc w:val="center"/>
              <w:rPr>
                <w:rFonts w:ascii="Times New Roman" w:eastAsia="Times New Roman" w:hAnsi="Times New Roman" w:cs="Times New Roman"/>
                <w:noProof/>
                <w:color w:val="000000"/>
                <w:szCs w:val="20"/>
                <w:lang w:val="sq-AL"/>
              </w:rPr>
            </w:pPr>
            <w:r w:rsidRPr="00221487">
              <w:rPr>
                <w:rFonts w:ascii="Times New Roman" w:eastAsia="Times New Roman" w:hAnsi="Times New Roman" w:cs="Times New Roman"/>
                <w:noProof/>
                <w:color w:val="000000"/>
                <w:szCs w:val="20"/>
                <w:lang w:val="sq-AL"/>
              </w:rPr>
              <w:t> </w:t>
            </w:r>
          </w:p>
        </w:tc>
        <w:tc>
          <w:tcPr>
            <w:tcW w:w="1322" w:type="dxa"/>
            <w:tcBorders>
              <w:top w:val="nil"/>
              <w:left w:val="nil"/>
              <w:bottom w:val="single" w:sz="4" w:space="0" w:color="auto"/>
              <w:right w:val="nil"/>
            </w:tcBorders>
            <w:shd w:val="pct10" w:color="000000" w:fill="FFFFFF"/>
            <w:vAlign w:val="center"/>
            <w:hideMark/>
          </w:tcPr>
          <w:p w:rsidR="00221487" w:rsidRPr="00221487" w:rsidRDefault="00221487" w:rsidP="00221487">
            <w:pPr>
              <w:spacing w:after="0" w:line="240" w:lineRule="auto"/>
              <w:jc w:val="center"/>
              <w:rPr>
                <w:rFonts w:ascii="Times New Roman" w:eastAsia="Times New Roman" w:hAnsi="Times New Roman" w:cs="Times New Roman"/>
                <w:b/>
                <w:bCs/>
                <w:noProof/>
                <w:lang w:val="sq-AL"/>
              </w:rPr>
            </w:pPr>
            <w:r w:rsidRPr="00221487">
              <w:rPr>
                <w:rFonts w:ascii="Times New Roman" w:eastAsia="Times New Roman" w:hAnsi="Times New Roman" w:cs="Times New Roman"/>
                <w:b/>
                <w:bCs/>
                <w:noProof/>
                <w:lang w:val="sq-AL"/>
              </w:rPr>
              <w:t>Vler.</w:t>
            </w:r>
          </w:p>
        </w:tc>
        <w:tc>
          <w:tcPr>
            <w:tcW w:w="990" w:type="dxa"/>
            <w:tcBorders>
              <w:top w:val="nil"/>
              <w:left w:val="nil"/>
              <w:bottom w:val="single" w:sz="4" w:space="0" w:color="auto"/>
              <w:right w:val="nil"/>
            </w:tcBorders>
            <w:shd w:val="pct10" w:color="000000" w:fill="FFFFFF"/>
            <w:vAlign w:val="center"/>
            <w:hideMark/>
          </w:tcPr>
          <w:p w:rsidR="00221487" w:rsidRPr="00221487" w:rsidRDefault="00221487" w:rsidP="00221487">
            <w:pPr>
              <w:spacing w:after="0" w:line="240" w:lineRule="auto"/>
              <w:jc w:val="center"/>
              <w:rPr>
                <w:rFonts w:ascii="Times New Roman" w:eastAsia="Times New Roman" w:hAnsi="Times New Roman" w:cs="Times New Roman"/>
                <w:b/>
                <w:bCs/>
                <w:noProof/>
                <w:lang w:val="sq-AL"/>
              </w:rPr>
            </w:pPr>
            <w:r w:rsidRPr="00221487">
              <w:rPr>
                <w:rFonts w:ascii="Times New Roman" w:eastAsia="Times New Roman" w:hAnsi="Times New Roman" w:cs="Times New Roman"/>
                <w:b/>
                <w:bCs/>
                <w:noProof/>
                <w:lang w:val="sq-AL"/>
              </w:rPr>
              <w:t>Para.</w:t>
            </w:r>
          </w:p>
        </w:tc>
        <w:tc>
          <w:tcPr>
            <w:tcW w:w="1350" w:type="dxa"/>
            <w:tcBorders>
              <w:top w:val="nil"/>
              <w:left w:val="nil"/>
              <w:bottom w:val="single" w:sz="4" w:space="0" w:color="auto"/>
              <w:right w:val="nil"/>
            </w:tcBorders>
            <w:shd w:val="pct10" w:color="000000" w:fill="FFFFFF"/>
            <w:vAlign w:val="center"/>
            <w:hideMark/>
          </w:tcPr>
          <w:p w:rsidR="00221487" w:rsidRPr="00221487" w:rsidRDefault="00221487" w:rsidP="00221487">
            <w:pPr>
              <w:spacing w:after="0" w:line="240" w:lineRule="auto"/>
              <w:jc w:val="center"/>
              <w:rPr>
                <w:rFonts w:ascii="Times New Roman" w:eastAsia="Times New Roman" w:hAnsi="Times New Roman" w:cs="Times New Roman"/>
                <w:b/>
                <w:bCs/>
                <w:noProof/>
                <w:lang w:val="sq-AL"/>
              </w:rPr>
            </w:pPr>
            <w:r w:rsidRPr="00221487">
              <w:rPr>
                <w:rFonts w:ascii="Times New Roman" w:eastAsia="Times New Roman" w:hAnsi="Times New Roman" w:cs="Times New Roman"/>
                <w:b/>
                <w:bCs/>
                <w:noProof/>
                <w:lang w:val="sq-AL"/>
              </w:rPr>
              <w:t>Para.</w:t>
            </w:r>
          </w:p>
        </w:tc>
        <w:tc>
          <w:tcPr>
            <w:tcW w:w="720" w:type="dxa"/>
            <w:tcBorders>
              <w:top w:val="nil"/>
              <w:left w:val="nil"/>
              <w:bottom w:val="single" w:sz="4" w:space="0" w:color="auto"/>
              <w:right w:val="nil"/>
            </w:tcBorders>
            <w:shd w:val="pct10" w:color="000000" w:fill="FFFFFF"/>
            <w:vAlign w:val="center"/>
            <w:hideMark/>
          </w:tcPr>
          <w:p w:rsidR="00221487" w:rsidRPr="00221487" w:rsidRDefault="00221487" w:rsidP="00221487">
            <w:pPr>
              <w:spacing w:after="0" w:line="240" w:lineRule="auto"/>
              <w:jc w:val="center"/>
              <w:rPr>
                <w:rFonts w:ascii="Times New Roman" w:eastAsia="Times New Roman" w:hAnsi="Times New Roman" w:cs="Times New Roman"/>
                <w:b/>
                <w:bCs/>
                <w:noProof/>
                <w:lang w:val="sq-AL"/>
              </w:rPr>
            </w:pPr>
            <w:r w:rsidRPr="00221487">
              <w:rPr>
                <w:rFonts w:ascii="Times New Roman" w:eastAsia="Times New Roman" w:hAnsi="Times New Roman" w:cs="Times New Roman"/>
                <w:b/>
                <w:bCs/>
                <w:noProof/>
                <w:lang w:val="sq-AL"/>
              </w:rPr>
              <w:t>Para.</w:t>
            </w:r>
          </w:p>
        </w:tc>
        <w:tc>
          <w:tcPr>
            <w:tcW w:w="1620" w:type="dxa"/>
            <w:tcBorders>
              <w:top w:val="nil"/>
              <w:left w:val="nil"/>
              <w:bottom w:val="single" w:sz="4" w:space="0" w:color="auto"/>
              <w:right w:val="single" w:sz="8" w:space="0" w:color="auto"/>
            </w:tcBorders>
            <w:shd w:val="pct10" w:color="000000" w:fill="FFFFFF"/>
            <w:vAlign w:val="center"/>
            <w:hideMark/>
          </w:tcPr>
          <w:p w:rsidR="00221487" w:rsidRPr="00221487" w:rsidRDefault="00221487" w:rsidP="00221487">
            <w:pPr>
              <w:spacing w:after="0" w:line="240" w:lineRule="auto"/>
              <w:jc w:val="center"/>
              <w:rPr>
                <w:rFonts w:ascii="Times New Roman" w:eastAsia="Times New Roman" w:hAnsi="Times New Roman" w:cs="Times New Roman"/>
                <w:b/>
                <w:bCs/>
                <w:noProof/>
                <w:lang w:val="sq-AL"/>
              </w:rPr>
            </w:pPr>
            <w:r w:rsidRPr="00221487">
              <w:rPr>
                <w:rFonts w:ascii="Times New Roman" w:eastAsia="Times New Roman" w:hAnsi="Times New Roman" w:cs="Times New Roman"/>
                <w:b/>
                <w:bCs/>
                <w:noProof/>
                <w:lang w:val="sq-AL"/>
              </w:rPr>
              <w:t>Para.</w:t>
            </w:r>
          </w:p>
        </w:tc>
      </w:tr>
      <w:tr w:rsidR="00221487" w:rsidRPr="00221487" w:rsidTr="004342D7">
        <w:trPr>
          <w:trHeight w:val="395"/>
        </w:trPr>
        <w:tc>
          <w:tcPr>
            <w:tcW w:w="3150" w:type="dxa"/>
            <w:tcBorders>
              <w:top w:val="nil"/>
              <w:left w:val="single" w:sz="8" w:space="0" w:color="auto"/>
              <w:bottom w:val="nil"/>
              <w:right w:val="nil"/>
            </w:tcBorders>
            <w:shd w:val="pct10" w:color="000000" w:fill="FFFFFF"/>
            <w:vAlign w:val="center"/>
            <w:hideMark/>
          </w:tcPr>
          <w:p w:rsidR="00221487" w:rsidRPr="00221487" w:rsidRDefault="00221487" w:rsidP="00221487">
            <w:pPr>
              <w:spacing w:after="0" w:line="240" w:lineRule="auto"/>
              <w:rPr>
                <w:rFonts w:ascii="Times New Roman" w:eastAsia="Times New Roman" w:hAnsi="Times New Roman" w:cs="Times New Roman"/>
                <w:noProof/>
                <w:color w:val="000000"/>
                <w:lang w:val="sq-AL"/>
              </w:rPr>
            </w:pPr>
            <w:r w:rsidRPr="00221487">
              <w:rPr>
                <w:rFonts w:ascii="Times New Roman" w:eastAsia="Times New Roman" w:hAnsi="Times New Roman" w:cs="Times New Roman"/>
                <w:bCs/>
                <w:noProof/>
                <w:color w:val="000000"/>
                <w:lang w:val="sq-AL"/>
              </w:rPr>
              <w:t>Rritja reale e PBB</w:t>
            </w:r>
          </w:p>
        </w:tc>
        <w:tc>
          <w:tcPr>
            <w:tcW w:w="1322" w:type="dxa"/>
            <w:tcBorders>
              <w:top w:val="nil"/>
              <w:left w:val="nil"/>
              <w:bottom w:val="nil"/>
              <w:right w:val="nil"/>
            </w:tcBorders>
            <w:shd w:val="pct10" w:color="000000" w:fill="FFFFFF"/>
            <w:vAlign w:val="center"/>
            <w:hideMark/>
          </w:tcPr>
          <w:p w:rsidR="00221487" w:rsidRPr="00221487" w:rsidRDefault="00221487" w:rsidP="00221487">
            <w:pPr>
              <w:spacing w:after="0" w:line="240" w:lineRule="auto"/>
              <w:jc w:val="center"/>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4.2</w:t>
            </w:r>
          </w:p>
        </w:tc>
        <w:tc>
          <w:tcPr>
            <w:tcW w:w="990" w:type="dxa"/>
            <w:tcBorders>
              <w:top w:val="nil"/>
              <w:left w:val="nil"/>
              <w:bottom w:val="nil"/>
              <w:right w:val="nil"/>
            </w:tcBorders>
            <w:shd w:val="pct10" w:color="000000" w:fill="FFFFFF"/>
            <w:vAlign w:val="center"/>
            <w:hideMark/>
          </w:tcPr>
          <w:p w:rsidR="00221487" w:rsidRPr="00221487" w:rsidRDefault="00221487" w:rsidP="00221487">
            <w:pPr>
              <w:spacing w:after="0" w:line="240" w:lineRule="auto"/>
              <w:jc w:val="center"/>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4.3</w:t>
            </w:r>
          </w:p>
        </w:tc>
        <w:tc>
          <w:tcPr>
            <w:tcW w:w="1350" w:type="dxa"/>
            <w:tcBorders>
              <w:top w:val="nil"/>
              <w:left w:val="nil"/>
              <w:bottom w:val="nil"/>
              <w:right w:val="nil"/>
            </w:tcBorders>
            <w:shd w:val="pct10" w:color="000000" w:fill="FFFFFF"/>
            <w:vAlign w:val="center"/>
            <w:hideMark/>
          </w:tcPr>
          <w:p w:rsidR="00221487" w:rsidRPr="00221487" w:rsidRDefault="00221487" w:rsidP="00221487">
            <w:pPr>
              <w:spacing w:after="0" w:line="240" w:lineRule="auto"/>
              <w:jc w:val="center"/>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4.4</w:t>
            </w:r>
          </w:p>
        </w:tc>
        <w:tc>
          <w:tcPr>
            <w:tcW w:w="720" w:type="dxa"/>
            <w:tcBorders>
              <w:top w:val="nil"/>
              <w:left w:val="nil"/>
              <w:bottom w:val="nil"/>
              <w:right w:val="nil"/>
            </w:tcBorders>
            <w:shd w:val="pct10" w:color="000000" w:fill="FFFFFF"/>
            <w:vAlign w:val="center"/>
            <w:hideMark/>
          </w:tcPr>
          <w:p w:rsidR="00221487" w:rsidRPr="00221487" w:rsidRDefault="00221487" w:rsidP="00221487">
            <w:pPr>
              <w:spacing w:after="0" w:line="240" w:lineRule="auto"/>
              <w:jc w:val="center"/>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4.5</w:t>
            </w:r>
          </w:p>
        </w:tc>
        <w:tc>
          <w:tcPr>
            <w:tcW w:w="1620" w:type="dxa"/>
            <w:tcBorders>
              <w:top w:val="nil"/>
              <w:left w:val="nil"/>
              <w:bottom w:val="nil"/>
              <w:right w:val="single" w:sz="8" w:space="0" w:color="auto"/>
            </w:tcBorders>
            <w:shd w:val="pct10" w:color="000000" w:fill="FFFFFF"/>
            <w:vAlign w:val="center"/>
            <w:hideMark/>
          </w:tcPr>
          <w:p w:rsidR="00221487" w:rsidRPr="00221487" w:rsidRDefault="00221487" w:rsidP="00221487">
            <w:pPr>
              <w:spacing w:after="0" w:line="240" w:lineRule="auto"/>
              <w:jc w:val="center"/>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4.5</w:t>
            </w:r>
          </w:p>
        </w:tc>
      </w:tr>
      <w:tr w:rsidR="00221487" w:rsidRPr="00221487" w:rsidTr="004342D7">
        <w:trPr>
          <w:trHeight w:val="360"/>
        </w:trPr>
        <w:tc>
          <w:tcPr>
            <w:tcW w:w="3150" w:type="dxa"/>
            <w:tcBorders>
              <w:top w:val="nil"/>
              <w:left w:val="single" w:sz="8" w:space="0" w:color="auto"/>
              <w:bottom w:val="nil"/>
              <w:right w:val="nil"/>
            </w:tcBorders>
            <w:shd w:val="pct10" w:color="000000" w:fill="FFFFFF"/>
            <w:vAlign w:val="center"/>
            <w:hideMark/>
          </w:tcPr>
          <w:p w:rsidR="00221487" w:rsidRPr="00221487" w:rsidRDefault="00221487" w:rsidP="00221487">
            <w:pPr>
              <w:spacing w:after="0" w:line="240" w:lineRule="auto"/>
              <w:rPr>
                <w:rFonts w:ascii="Times New Roman" w:eastAsia="Times New Roman" w:hAnsi="Times New Roman" w:cs="Times New Roman"/>
                <w:noProof/>
                <w:color w:val="000000"/>
                <w:lang w:val="sq-AL"/>
              </w:rPr>
            </w:pPr>
            <w:r w:rsidRPr="00221487">
              <w:rPr>
                <w:rFonts w:ascii="Times New Roman" w:eastAsia="Times New Roman" w:hAnsi="Times New Roman" w:cs="Times New Roman"/>
                <w:bCs/>
                <w:noProof/>
                <w:color w:val="000000"/>
                <w:lang w:val="sq-AL"/>
              </w:rPr>
              <w:t>Rritja nominale e PBB</w:t>
            </w:r>
          </w:p>
        </w:tc>
        <w:tc>
          <w:tcPr>
            <w:tcW w:w="1322" w:type="dxa"/>
            <w:tcBorders>
              <w:top w:val="nil"/>
              <w:left w:val="nil"/>
              <w:bottom w:val="nil"/>
              <w:right w:val="nil"/>
            </w:tcBorders>
            <w:shd w:val="pct10" w:color="000000" w:fill="FFFFFF"/>
            <w:vAlign w:val="center"/>
            <w:hideMark/>
          </w:tcPr>
          <w:p w:rsidR="00221487" w:rsidRPr="00221487" w:rsidRDefault="00221487" w:rsidP="00221487">
            <w:pPr>
              <w:spacing w:after="0" w:line="240" w:lineRule="auto"/>
              <w:jc w:val="center"/>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6.1</w:t>
            </w:r>
          </w:p>
        </w:tc>
        <w:tc>
          <w:tcPr>
            <w:tcW w:w="990" w:type="dxa"/>
            <w:tcBorders>
              <w:top w:val="nil"/>
              <w:left w:val="nil"/>
              <w:bottom w:val="nil"/>
              <w:right w:val="nil"/>
            </w:tcBorders>
            <w:shd w:val="pct10" w:color="000000" w:fill="FFFFFF"/>
            <w:vAlign w:val="center"/>
            <w:hideMark/>
          </w:tcPr>
          <w:p w:rsidR="00221487" w:rsidRPr="00221487" w:rsidRDefault="00221487" w:rsidP="00221487">
            <w:pPr>
              <w:spacing w:after="0" w:line="240" w:lineRule="auto"/>
              <w:jc w:val="center"/>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6.4</w:t>
            </w:r>
          </w:p>
        </w:tc>
        <w:tc>
          <w:tcPr>
            <w:tcW w:w="1350" w:type="dxa"/>
            <w:tcBorders>
              <w:top w:val="nil"/>
              <w:left w:val="nil"/>
              <w:bottom w:val="nil"/>
              <w:right w:val="nil"/>
            </w:tcBorders>
            <w:shd w:val="pct10" w:color="000000" w:fill="FFFFFF"/>
            <w:vAlign w:val="center"/>
            <w:hideMark/>
          </w:tcPr>
          <w:p w:rsidR="00221487" w:rsidRPr="00221487" w:rsidRDefault="00221487" w:rsidP="00221487">
            <w:pPr>
              <w:spacing w:after="0" w:line="240" w:lineRule="auto"/>
              <w:jc w:val="center"/>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6.6</w:t>
            </w:r>
          </w:p>
        </w:tc>
        <w:tc>
          <w:tcPr>
            <w:tcW w:w="720" w:type="dxa"/>
            <w:tcBorders>
              <w:top w:val="nil"/>
              <w:left w:val="nil"/>
              <w:bottom w:val="nil"/>
              <w:right w:val="nil"/>
            </w:tcBorders>
            <w:shd w:val="pct10" w:color="000000" w:fill="FFFFFF"/>
            <w:vAlign w:val="center"/>
            <w:hideMark/>
          </w:tcPr>
          <w:p w:rsidR="00221487" w:rsidRPr="00221487" w:rsidRDefault="00221487" w:rsidP="00221487">
            <w:pPr>
              <w:spacing w:after="0" w:line="240" w:lineRule="auto"/>
              <w:jc w:val="center"/>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7.0</w:t>
            </w:r>
          </w:p>
        </w:tc>
        <w:tc>
          <w:tcPr>
            <w:tcW w:w="1620" w:type="dxa"/>
            <w:tcBorders>
              <w:top w:val="nil"/>
              <w:left w:val="nil"/>
              <w:bottom w:val="nil"/>
              <w:right w:val="single" w:sz="8" w:space="0" w:color="auto"/>
            </w:tcBorders>
            <w:shd w:val="pct10" w:color="000000" w:fill="FFFFFF"/>
            <w:vAlign w:val="center"/>
            <w:hideMark/>
          </w:tcPr>
          <w:p w:rsidR="00221487" w:rsidRPr="00221487" w:rsidRDefault="00221487" w:rsidP="00221487">
            <w:pPr>
              <w:spacing w:after="0" w:line="240" w:lineRule="auto"/>
              <w:jc w:val="center"/>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5.9</w:t>
            </w:r>
          </w:p>
        </w:tc>
      </w:tr>
      <w:tr w:rsidR="00221487" w:rsidRPr="00221487" w:rsidTr="004342D7">
        <w:trPr>
          <w:trHeight w:val="402"/>
        </w:trPr>
        <w:tc>
          <w:tcPr>
            <w:tcW w:w="3150" w:type="dxa"/>
            <w:tcBorders>
              <w:top w:val="nil"/>
              <w:left w:val="single" w:sz="8" w:space="0" w:color="auto"/>
              <w:bottom w:val="nil"/>
              <w:right w:val="nil"/>
            </w:tcBorders>
            <w:shd w:val="pct10" w:color="000000" w:fill="FFFFFF"/>
            <w:noWrap/>
            <w:vAlign w:val="center"/>
            <w:hideMark/>
          </w:tcPr>
          <w:p w:rsidR="00221487" w:rsidRPr="00221487" w:rsidRDefault="00221487" w:rsidP="00221487">
            <w:pPr>
              <w:spacing w:after="0" w:line="240" w:lineRule="auto"/>
              <w:rPr>
                <w:rFonts w:ascii="Times New Roman" w:eastAsia="Times New Roman" w:hAnsi="Times New Roman" w:cs="Times New Roman"/>
                <w:i/>
                <w:iCs/>
                <w:noProof/>
                <w:color w:val="000000"/>
                <w:lang w:val="sq-AL"/>
              </w:rPr>
            </w:pPr>
            <w:r w:rsidRPr="00221487">
              <w:rPr>
                <w:rFonts w:ascii="Times New Roman" w:eastAsia="Times New Roman" w:hAnsi="Times New Roman" w:cs="Times New Roman"/>
                <w:noProof/>
                <w:color w:val="000000"/>
                <w:lang w:val="sq-AL"/>
              </w:rPr>
              <w:t>Inflacioni</w:t>
            </w:r>
            <w:r w:rsidRPr="00221487">
              <w:rPr>
                <w:rFonts w:ascii="Times New Roman" w:eastAsia="Times New Roman" w:hAnsi="Times New Roman" w:cs="Times New Roman"/>
                <w:i/>
                <w:iCs/>
                <w:noProof/>
                <w:color w:val="000000"/>
                <w:lang w:val="sq-AL"/>
              </w:rPr>
              <w:t xml:space="preserve"> (mesatarisht)</w:t>
            </w:r>
          </w:p>
        </w:tc>
        <w:tc>
          <w:tcPr>
            <w:tcW w:w="1322" w:type="dxa"/>
            <w:tcBorders>
              <w:top w:val="nil"/>
              <w:left w:val="nil"/>
              <w:bottom w:val="nil"/>
              <w:right w:val="nil"/>
            </w:tcBorders>
            <w:shd w:val="pct10" w:color="000000" w:fill="FFFFFF"/>
            <w:vAlign w:val="center"/>
            <w:hideMark/>
          </w:tcPr>
          <w:p w:rsidR="00221487" w:rsidRPr="00221487" w:rsidRDefault="00221487" w:rsidP="00221487">
            <w:pPr>
              <w:spacing w:after="0" w:line="240" w:lineRule="auto"/>
              <w:jc w:val="center"/>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2.0</w:t>
            </w:r>
          </w:p>
        </w:tc>
        <w:tc>
          <w:tcPr>
            <w:tcW w:w="990" w:type="dxa"/>
            <w:tcBorders>
              <w:top w:val="nil"/>
              <w:left w:val="nil"/>
              <w:bottom w:val="nil"/>
              <w:right w:val="nil"/>
            </w:tcBorders>
            <w:shd w:val="pct10" w:color="000000" w:fill="FFFFFF"/>
            <w:vAlign w:val="center"/>
            <w:hideMark/>
          </w:tcPr>
          <w:p w:rsidR="00221487" w:rsidRPr="00221487" w:rsidRDefault="00221487" w:rsidP="00221487">
            <w:pPr>
              <w:spacing w:after="0" w:line="240" w:lineRule="auto"/>
              <w:jc w:val="center"/>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2.7</w:t>
            </w:r>
          </w:p>
        </w:tc>
        <w:tc>
          <w:tcPr>
            <w:tcW w:w="1350" w:type="dxa"/>
            <w:tcBorders>
              <w:top w:val="nil"/>
              <w:left w:val="nil"/>
              <w:bottom w:val="nil"/>
              <w:right w:val="nil"/>
            </w:tcBorders>
            <w:shd w:val="pct10" w:color="000000" w:fill="FFFFFF"/>
            <w:vAlign w:val="center"/>
            <w:hideMark/>
          </w:tcPr>
          <w:p w:rsidR="00221487" w:rsidRPr="00221487" w:rsidRDefault="00221487" w:rsidP="00221487">
            <w:pPr>
              <w:spacing w:after="0" w:line="240" w:lineRule="auto"/>
              <w:jc w:val="center"/>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3.0</w:t>
            </w:r>
          </w:p>
        </w:tc>
        <w:tc>
          <w:tcPr>
            <w:tcW w:w="720" w:type="dxa"/>
            <w:tcBorders>
              <w:top w:val="nil"/>
              <w:left w:val="nil"/>
              <w:bottom w:val="nil"/>
              <w:right w:val="nil"/>
            </w:tcBorders>
            <w:shd w:val="pct10" w:color="000000" w:fill="FFFFFF"/>
            <w:vAlign w:val="center"/>
            <w:hideMark/>
          </w:tcPr>
          <w:p w:rsidR="00221487" w:rsidRPr="00221487" w:rsidRDefault="00221487" w:rsidP="00221487">
            <w:pPr>
              <w:spacing w:after="0" w:line="240" w:lineRule="auto"/>
              <w:jc w:val="center"/>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3.0</w:t>
            </w:r>
          </w:p>
        </w:tc>
        <w:tc>
          <w:tcPr>
            <w:tcW w:w="1620" w:type="dxa"/>
            <w:tcBorders>
              <w:top w:val="nil"/>
              <w:left w:val="nil"/>
              <w:bottom w:val="nil"/>
              <w:right w:val="single" w:sz="8" w:space="0" w:color="auto"/>
            </w:tcBorders>
            <w:shd w:val="pct10" w:color="000000" w:fill="FFFFFF"/>
            <w:vAlign w:val="center"/>
            <w:hideMark/>
          </w:tcPr>
          <w:p w:rsidR="00221487" w:rsidRPr="00221487" w:rsidRDefault="00221487" w:rsidP="00221487">
            <w:pPr>
              <w:spacing w:after="0" w:line="240" w:lineRule="auto"/>
              <w:jc w:val="center"/>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3.0</w:t>
            </w:r>
          </w:p>
        </w:tc>
      </w:tr>
      <w:tr w:rsidR="00221487" w:rsidRPr="00221487" w:rsidTr="004342D7">
        <w:trPr>
          <w:trHeight w:val="402"/>
        </w:trPr>
        <w:tc>
          <w:tcPr>
            <w:tcW w:w="3150" w:type="dxa"/>
            <w:tcBorders>
              <w:top w:val="nil"/>
              <w:left w:val="single" w:sz="8" w:space="0" w:color="auto"/>
              <w:bottom w:val="nil"/>
              <w:right w:val="nil"/>
            </w:tcBorders>
            <w:shd w:val="pct10" w:color="000000" w:fill="FFFFFF"/>
            <w:vAlign w:val="center"/>
            <w:hideMark/>
          </w:tcPr>
          <w:p w:rsidR="00221487" w:rsidRPr="00221487" w:rsidRDefault="00221487" w:rsidP="00221487">
            <w:pPr>
              <w:spacing w:after="0" w:line="240" w:lineRule="auto"/>
              <w:rPr>
                <w:rFonts w:ascii="Times New Roman" w:eastAsia="Times New Roman" w:hAnsi="Times New Roman" w:cs="Times New Roman"/>
                <w:i/>
                <w:iCs/>
                <w:noProof/>
                <w:color w:val="000000"/>
                <w:lang w:val="sq-AL"/>
              </w:rPr>
            </w:pPr>
            <w:r w:rsidRPr="00221487">
              <w:rPr>
                <w:rFonts w:ascii="Times New Roman" w:eastAsia="Times New Roman" w:hAnsi="Times New Roman" w:cs="Times New Roman"/>
                <w:noProof/>
                <w:color w:val="000000"/>
                <w:lang w:val="sq-AL"/>
              </w:rPr>
              <w:t xml:space="preserve">Eksportet </w:t>
            </w:r>
            <w:r w:rsidRPr="00221487">
              <w:rPr>
                <w:rFonts w:ascii="Times New Roman" w:eastAsia="Times New Roman" w:hAnsi="Times New Roman" w:cs="Times New Roman"/>
                <w:i/>
                <w:iCs/>
                <w:noProof/>
                <w:color w:val="000000"/>
                <w:lang w:val="sq-AL"/>
              </w:rPr>
              <w:t>(% e PBB)</w:t>
            </w:r>
          </w:p>
        </w:tc>
        <w:tc>
          <w:tcPr>
            <w:tcW w:w="1322" w:type="dxa"/>
            <w:tcBorders>
              <w:top w:val="nil"/>
              <w:left w:val="nil"/>
              <w:bottom w:val="nil"/>
              <w:right w:val="nil"/>
            </w:tcBorders>
            <w:shd w:val="pct10" w:color="000000" w:fill="FFFFFF"/>
            <w:vAlign w:val="center"/>
            <w:hideMark/>
          </w:tcPr>
          <w:p w:rsidR="00221487" w:rsidRPr="00221487" w:rsidRDefault="00221487" w:rsidP="00221487">
            <w:pPr>
              <w:spacing w:after="0" w:line="240" w:lineRule="auto"/>
              <w:jc w:val="center"/>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7.5</w:t>
            </w:r>
          </w:p>
        </w:tc>
        <w:tc>
          <w:tcPr>
            <w:tcW w:w="990" w:type="dxa"/>
            <w:tcBorders>
              <w:top w:val="nil"/>
              <w:left w:val="nil"/>
              <w:bottom w:val="nil"/>
              <w:right w:val="nil"/>
            </w:tcBorders>
            <w:shd w:val="pct10" w:color="000000" w:fill="FFFFFF"/>
            <w:vAlign w:val="center"/>
            <w:hideMark/>
          </w:tcPr>
          <w:p w:rsidR="00221487" w:rsidRPr="00221487" w:rsidRDefault="00221487" w:rsidP="00221487">
            <w:pPr>
              <w:spacing w:after="0" w:line="240" w:lineRule="auto"/>
              <w:jc w:val="center"/>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7.7</w:t>
            </w:r>
          </w:p>
        </w:tc>
        <w:tc>
          <w:tcPr>
            <w:tcW w:w="1350" w:type="dxa"/>
            <w:tcBorders>
              <w:top w:val="nil"/>
              <w:left w:val="nil"/>
              <w:bottom w:val="nil"/>
              <w:right w:val="nil"/>
            </w:tcBorders>
            <w:shd w:val="pct10" w:color="000000" w:fill="FFFFFF"/>
            <w:vAlign w:val="center"/>
            <w:hideMark/>
          </w:tcPr>
          <w:p w:rsidR="00221487" w:rsidRPr="00221487" w:rsidRDefault="00221487" w:rsidP="00221487">
            <w:pPr>
              <w:spacing w:after="0" w:line="240" w:lineRule="auto"/>
              <w:jc w:val="center"/>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7.9</w:t>
            </w:r>
          </w:p>
        </w:tc>
        <w:tc>
          <w:tcPr>
            <w:tcW w:w="720" w:type="dxa"/>
            <w:tcBorders>
              <w:top w:val="nil"/>
              <w:left w:val="nil"/>
              <w:bottom w:val="nil"/>
              <w:right w:val="nil"/>
            </w:tcBorders>
            <w:shd w:val="pct10" w:color="000000" w:fill="FFFFFF"/>
            <w:vAlign w:val="center"/>
            <w:hideMark/>
          </w:tcPr>
          <w:p w:rsidR="00221487" w:rsidRPr="00221487" w:rsidRDefault="00221487" w:rsidP="00221487">
            <w:pPr>
              <w:spacing w:after="0" w:line="240" w:lineRule="auto"/>
              <w:jc w:val="center"/>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8.1</w:t>
            </w:r>
          </w:p>
        </w:tc>
        <w:tc>
          <w:tcPr>
            <w:tcW w:w="1620" w:type="dxa"/>
            <w:tcBorders>
              <w:top w:val="nil"/>
              <w:left w:val="nil"/>
              <w:bottom w:val="nil"/>
              <w:right w:val="single" w:sz="8" w:space="0" w:color="auto"/>
            </w:tcBorders>
            <w:shd w:val="pct10" w:color="000000" w:fill="FFFFFF"/>
            <w:vAlign w:val="center"/>
            <w:hideMark/>
          </w:tcPr>
          <w:p w:rsidR="00221487" w:rsidRPr="00221487" w:rsidRDefault="00221487" w:rsidP="00221487">
            <w:pPr>
              <w:spacing w:after="0" w:line="240" w:lineRule="auto"/>
              <w:jc w:val="center"/>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8.3</w:t>
            </w:r>
          </w:p>
        </w:tc>
      </w:tr>
      <w:tr w:rsidR="00221487" w:rsidRPr="00221487" w:rsidTr="004342D7">
        <w:trPr>
          <w:trHeight w:val="402"/>
        </w:trPr>
        <w:tc>
          <w:tcPr>
            <w:tcW w:w="3150" w:type="dxa"/>
            <w:tcBorders>
              <w:top w:val="nil"/>
              <w:left w:val="single" w:sz="8" w:space="0" w:color="auto"/>
              <w:bottom w:val="nil"/>
              <w:right w:val="nil"/>
            </w:tcBorders>
            <w:shd w:val="pct10" w:color="000000" w:fill="FFFFFF"/>
            <w:vAlign w:val="center"/>
            <w:hideMark/>
          </w:tcPr>
          <w:p w:rsidR="00221487" w:rsidRPr="00221487" w:rsidRDefault="00221487" w:rsidP="00221487">
            <w:pPr>
              <w:spacing w:after="0" w:line="240" w:lineRule="auto"/>
              <w:rPr>
                <w:rFonts w:ascii="Times New Roman" w:eastAsia="Times New Roman" w:hAnsi="Times New Roman" w:cs="Times New Roman"/>
                <w:i/>
                <w:iCs/>
                <w:noProof/>
                <w:color w:val="000000"/>
                <w:lang w:val="sq-AL"/>
              </w:rPr>
            </w:pPr>
            <w:r w:rsidRPr="00221487">
              <w:rPr>
                <w:rFonts w:ascii="Times New Roman" w:eastAsia="Times New Roman" w:hAnsi="Times New Roman" w:cs="Times New Roman"/>
                <w:noProof/>
                <w:color w:val="000000"/>
                <w:lang w:val="sq-AL"/>
              </w:rPr>
              <w:t>Importet</w:t>
            </w:r>
            <w:r w:rsidRPr="00221487">
              <w:rPr>
                <w:rFonts w:ascii="Times New Roman" w:eastAsia="Times New Roman" w:hAnsi="Times New Roman" w:cs="Times New Roman"/>
                <w:i/>
                <w:iCs/>
                <w:noProof/>
                <w:color w:val="000000"/>
                <w:lang w:val="sq-AL"/>
              </w:rPr>
              <w:t xml:space="preserve"> (% e PBB)</w:t>
            </w:r>
          </w:p>
        </w:tc>
        <w:tc>
          <w:tcPr>
            <w:tcW w:w="1322" w:type="dxa"/>
            <w:tcBorders>
              <w:top w:val="nil"/>
              <w:left w:val="nil"/>
              <w:bottom w:val="nil"/>
              <w:right w:val="nil"/>
            </w:tcBorders>
            <w:shd w:val="pct10" w:color="000000" w:fill="FFFFFF"/>
            <w:vAlign w:val="center"/>
            <w:hideMark/>
          </w:tcPr>
          <w:p w:rsidR="00221487" w:rsidRPr="00221487" w:rsidRDefault="00221487" w:rsidP="00221487">
            <w:pPr>
              <w:spacing w:after="0" w:line="240" w:lineRule="auto"/>
              <w:jc w:val="center"/>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-30.1</w:t>
            </w:r>
          </w:p>
        </w:tc>
        <w:tc>
          <w:tcPr>
            <w:tcW w:w="990" w:type="dxa"/>
            <w:tcBorders>
              <w:top w:val="nil"/>
              <w:left w:val="nil"/>
              <w:bottom w:val="nil"/>
              <w:right w:val="nil"/>
            </w:tcBorders>
            <w:shd w:val="pct10" w:color="000000" w:fill="FFFFFF"/>
            <w:vAlign w:val="center"/>
            <w:hideMark/>
          </w:tcPr>
          <w:p w:rsidR="00221487" w:rsidRPr="00221487" w:rsidRDefault="00221487" w:rsidP="00221487">
            <w:pPr>
              <w:spacing w:after="0" w:line="240" w:lineRule="auto"/>
              <w:jc w:val="center"/>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-30.1</w:t>
            </w:r>
          </w:p>
        </w:tc>
        <w:tc>
          <w:tcPr>
            <w:tcW w:w="1350" w:type="dxa"/>
            <w:tcBorders>
              <w:top w:val="nil"/>
              <w:left w:val="nil"/>
              <w:bottom w:val="nil"/>
              <w:right w:val="nil"/>
            </w:tcBorders>
            <w:shd w:val="pct10" w:color="000000" w:fill="FFFFFF"/>
            <w:vAlign w:val="center"/>
            <w:hideMark/>
          </w:tcPr>
          <w:p w:rsidR="00221487" w:rsidRPr="00221487" w:rsidRDefault="00221487" w:rsidP="00221487">
            <w:pPr>
              <w:spacing w:after="0" w:line="240" w:lineRule="auto"/>
              <w:jc w:val="center"/>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-30.0</w:t>
            </w:r>
          </w:p>
        </w:tc>
        <w:tc>
          <w:tcPr>
            <w:tcW w:w="720" w:type="dxa"/>
            <w:tcBorders>
              <w:top w:val="nil"/>
              <w:left w:val="nil"/>
              <w:bottom w:val="nil"/>
              <w:right w:val="nil"/>
            </w:tcBorders>
            <w:shd w:val="pct10" w:color="000000" w:fill="FFFFFF"/>
            <w:vAlign w:val="center"/>
            <w:hideMark/>
          </w:tcPr>
          <w:p w:rsidR="00221487" w:rsidRPr="00221487" w:rsidRDefault="00221487" w:rsidP="00221487">
            <w:pPr>
              <w:spacing w:after="0" w:line="240" w:lineRule="auto"/>
              <w:jc w:val="center"/>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-30.0</w:t>
            </w:r>
          </w:p>
        </w:tc>
        <w:tc>
          <w:tcPr>
            <w:tcW w:w="1620" w:type="dxa"/>
            <w:tcBorders>
              <w:top w:val="nil"/>
              <w:left w:val="nil"/>
              <w:bottom w:val="nil"/>
              <w:right w:val="single" w:sz="8" w:space="0" w:color="auto"/>
            </w:tcBorders>
            <w:shd w:val="pct10" w:color="000000" w:fill="FFFFFF"/>
            <w:vAlign w:val="center"/>
            <w:hideMark/>
          </w:tcPr>
          <w:p w:rsidR="00221487" w:rsidRPr="00221487" w:rsidRDefault="00221487" w:rsidP="00221487">
            <w:pPr>
              <w:spacing w:after="0" w:line="240" w:lineRule="auto"/>
              <w:jc w:val="center"/>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-29.9</w:t>
            </w:r>
          </w:p>
        </w:tc>
      </w:tr>
      <w:tr w:rsidR="00221487" w:rsidRPr="00221487" w:rsidTr="004342D7">
        <w:trPr>
          <w:trHeight w:val="225"/>
        </w:trPr>
        <w:tc>
          <w:tcPr>
            <w:tcW w:w="3150" w:type="dxa"/>
            <w:tcBorders>
              <w:top w:val="nil"/>
              <w:left w:val="single" w:sz="8" w:space="0" w:color="auto"/>
              <w:bottom w:val="single" w:sz="8" w:space="0" w:color="auto"/>
              <w:right w:val="nil"/>
            </w:tcBorders>
            <w:shd w:val="pct10" w:color="000000" w:fill="FFFFFF"/>
            <w:noWrap/>
            <w:vAlign w:val="center"/>
            <w:hideMark/>
          </w:tcPr>
          <w:p w:rsidR="00221487" w:rsidRPr="00221487" w:rsidRDefault="00221487" w:rsidP="00221487">
            <w:pPr>
              <w:spacing w:after="0" w:line="240" w:lineRule="auto"/>
              <w:rPr>
                <w:rFonts w:ascii="Times New Roman" w:eastAsia="Times New Roman" w:hAnsi="Times New Roman" w:cs="Times New Roman"/>
                <w:noProof/>
                <w:color w:val="000000"/>
                <w:lang w:val="sq-AL"/>
              </w:rPr>
            </w:pPr>
            <w:r w:rsidRPr="00221487">
              <w:rPr>
                <w:rFonts w:ascii="Times New Roman" w:eastAsia="Times New Roman" w:hAnsi="Times New Roman" w:cs="Times New Roman"/>
                <w:bCs/>
                <w:noProof/>
                <w:color w:val="000000"/>
                <w:lang w:val="sq-AL"/>
              </w:rPr>
              <w:t xml:space="preserve">Llogaria aktuale </w:t>
            </w:r>
            <w:r w:rsidRPr="00221487">
              <w:rPr>
                <w:rFonts w:ascii="Times New Roman" w:eastAsia="Times New Roman" w:hAnsi="Times New Roman" w:cs="Times New Roman"/>
                <w:i/>
                <w:iCs/>
                <w:noProof/>
                <w:color w:val="000000"/>
                <w:lang w:val="sq-AL"/>
              </w:rPr>
              <w:t>(% e PBB)</w:t>
            </w:r>
          </w:p>
        </w:tc>
        <w:tc>
          <w:tcPr>
            <w:tcW w:w="1322" w:type="dxa"/>
            <w:tcBorders>
              <w:top w:val="nil"/>
              <w:left w:val="nil"/>
              <w:bottom w:val="single" w:sz="8" w:space="0" w:color="auto"/>
              <w:right w:val="nil"/>
            </w:tcBorders>
            <w:shd w:val="pct10" w:color="000000" w:fill="FFFFFF"/>
            <w:vAlign w:val="center"/>
            <w:hideMark/>
          </w:tcPr>
          <w:p w:rsidR="00221487" w:rsidRPr="00221487" w:rsidRDefault="00221487" w:rsidP="00221487">
            <w:pPr>
              <w:spacing w:after="0" w:line="240" w:lineRule="auto"/>
              <w:jc w:val="center"/>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-6.7</w:t>
            </w:r>
          </w:p>
        </w:tc>
        <w:tc>
          <w:tcPr>
            <w:tcW w:w="990" w:type="dxa"/>
            <w:tcBorders>
              <w:top w:val="nil"/>
              <w:left w:val="nil"/>
              <w:bottom w:val="single" w:sz="8" w:space="0" w:color="auto"/>
              <w:right w:val="nil"/>
            </w:tcBorders>
            <w:shd w:val="pct10" w:color="000000" w:fill="FFFFFF"/>
            <w:vAlign w:val="center"/>
            <w:hideMark/>
          </w:tcPr>
          <w:p w:rsidR="00221487" w:rsidRPr="00221487" w:rsidRDefault="00221487" w:rsidP="00221487">
            <w:pPr>
              <w:spacing w:after="0" w:line="240" w:lineRule="auto"/>
              <w:jc w:val="center"/>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-6.3</w:t>
            </w:r>
          </w:p>
        </w:tc>
        <w:tc>
          <w:tcPr>
            <w:tcW w:w="1350" w:type="dxa"/>
            <w:tcBorders>
              <w:top w:val="nil"/>
              <w:left w:val="nil"/>
              <w:bottom w:val="single" w:sz="8" w:space="0" w:color="auto"/>
              <w:right w:val="nil"/>
            </w:tcBorders>
            <w:shd w:val="pct10" w:color="000000" w:fill="FFFFFF"/>
            <w:vAlign w:val="center"/>
            <w:hideMark/>
          </w:tcPr>
          <w:p w:rsidR="00221487" w:rsidRPr="00221487" w:rsidRDefault="00221487" w:rsidP="00221487">
            <w:pPr>
              <w:spacing w:after="0" w:line="240" w:lineRule="auto"/>
              <w:jc w:val="center"/>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-6.1</w:t>
            </w:r>
          </w:p>
        </w:tc>
        <w:tc>
          <w:tcPr>
            <w:tcW w:w="720" w:type="dxa"/>
            <w:tcBorders>
              <w:top w:val="nil"/>
              <w:left w:val="nil"/>
              <w:bottom w:val="single" w:sz="8" w:space="0" w:color="auto"/>
              <w:right w:val="nil"/>
            </w:tcBorders>
            <w:shd w:val="pct10" w:color="000000" w:fill="FFFFFF"/>
            <w:vAlign w:val="center"/>
            <w:hideMark/>
          </w:tcPr>
          <w:p w:rsidR="00221487" w:rsidRPr="00221487" w:rsidRDefault="00221487" w:rsidP="00221487">
            <w:pPr>
              <w:spacing w:after="0" w:line="240" w:lineRule="auto"/>
              <w:jc w:val="center"/>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-6.0</w:t>
            </w:r>
          </w:p>
        </w:tc>
        <w:tc>
          <w:tcPr>
            <w:tcW w:w="1620" w:type="dxa"/>
            <w:tcBorders>
              <w:top w:val="nil"/>
              <w:left w:val="nil"/>
              <w:bottom w:val="single" w:sz="8" w:space="0" w:color="auto"/>
              <w:right w:val="single" w:sz="8" w:space="0" w:color="auto"/>
            </w:tcBorders>
            <w:shd w:val="pct10" w:color="000000" w:fill="FFFFFF"/>
            <w:vAlign w:val="center"/>
            <w:hideMark/>
          </w:tcPr>
          <w:p w:rsidR="00221487" w:rsidRPr="00221487" w:rsidRDefault="00221487" w:rsidP="00221487">
            <w:pPr>
              <w:spacing w:after="0" w:line="240" w:lineRule="auto"/>
              <w:jc w:val="center"/>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-5.9</w:t>
            </w:r>
          </w:p>
        </w:tc>
      </w:tr>
    </w:tbl>
    <w:p w:rsidR="00221487" w:rsidRPr="00221487" w:rsidRDefault="00221487" w:rsidP="00221487">
      <w:pPr>
        <w:spacing w:after="0" w:line="240" w:lineRule="auto"/>
        <w:jc w:val="both"/>
        <w:rPr>
          <w:rFonts w:ascii="Times New Roman" w:eastAsia="Times" w:hAnsi="Times New Roman" w:cs="Times New Roman"/>
          <w:i/>
          <w:noProof/>
          <w:lang w:val="sq-AL"/>
        </w:rPr>
      </w:pPr>
      <w:r w:rsidRPr="00221487">
        <w:rPr>
          <w:rFonts w:ascii="Times New Roman" w:eastAsia="Times" w:hAnsi="Times New Roman" w:cs="Times New Roman"/>
          <w:i/>
          <w:noProof/>
          <w:lang w:val="sq-AL"/>
        </w:rPr>
        <w:fldChar w:fldCharType="end"/>
      </w:r>
    </w:p>
    <w:p w:rsidR="00221487" w:rsidRPr="00221487" w:rsidRDefault="00221487" w:rsidP="00221487">
      <w:pPr>
        <w:spacing w:after="0" w:line="240" w:lineRule="auto"/>
        <w:jc w:val="both"/>
        <w:rPr>
          <w:rFonts w:ascii="Times New Roman" w:eastAsia="Times" w:hAnsi="Times New Roman" w:cs="Times New Roman"/>
          <w:b/>
          <w:bCs/>
          <w:i/>
          <w:noProof/>
          <w:lang w:val="sq-AL"/>
        </w:rPr>
      </w:pPr>
      <w:r w:rsidRPr="00221487">
        <w:rPr>
          <w:rFonts w:ascii="Times New Roman" w:eastAsia="Times" w:hAnsi="Times New Roman" w:cs="Times New Roman"/>
          <w:i/>
          <w:noProof/>
          <w:lang w:val="sq-AL"/>
        </w:rPr>
        <w:t>Burimi: Ministria e Financave dhe Ekonomisë, Kuadri Fiskal dhe Makroekonomik 2020-2022(janar 2019)</w:t>
      </w: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keepNext/>
        <w:numPr>
          <w:ilvl w:val="1"/>
          <w:numId w:val="0"/>
        </w:numPr>
        <w:spacing w:after="0" w:line="240" w:lineRule="auto"/>
        <w:ind w:left="420" w:hanging="420"/>
        <w:jc w:val="both"/>
        <w:outlineLvl w:val="1"/>
        <w:rPr>
          <w:rFonts w:ascii="Times New Roman" w:eastAsia="Times" w:hAnsi="Times New Roman" w:cs="Times New Roman"/>
          <w:b/>
          <w:bCs/>
          <w:noProof/>
          <w:lang w:val="sq-AL"/>
        </w:rPr>
      </w:pPr>
      <w:bookmarkStart w:id="14" w:name="_Toc3984447"/>
      <w:r w:rsidRPr="00221487">
        <w:rPr>
          <w:rFonts w:ascii="Times New Roman" w:eastAsia="Times" w:hAnsi="Times New Roman" w:cs="Times New Roman"/>
          <w:b/>
          <w:bCs/>
          <w:noProof/>
          <w:lang w:val="sq-AL"/>
        </w:rPr>
        <w:lastRenderedPageBreak/>
        <w:t>Pasqyrë e performancës së Treguesve Kyç të Performancës</w:t>
      </w:r>
      <w:r w:rsidRPr="00221487">
        <w:rPr>
          <w:rFonts w:ascii="Times New Roman" w:eastAsia="Times" w:hAnsi="Times New Roman" w:cs="Times New Roman"/>
          <w:b/>
          <w:bCs/>
          <w:noProof/>
          <w:vertAlign w:val="superscript"/>
          <w:lang w:val="sq-AL"/>
        </w:rPr>
        <w:footnoteReference w:id="1"/>
      </w:r>
      <w:bookmarkEnd w:id="14"/>
    </w:p>
    <w:p w:rsidR="00221487" w:rsidRPr="00221487" w:rsidRDefault="00221487" w:rsidP="00221487">
      <w:pPr>
        <w:spacing w:after="0" w:line="240" w:lineRule="auto"/>
        <w:jc w:val="both"/>
        <w:rPr>
          <w:rFonts w:ascii="Times New Roman" w:eastAsia="Times" w:hAnsi="Times New Roman" w:cs="Times New Roman"/>
          <w:noProof/>
          <w:lang w:val="sq-AL"/>
        </w:rPr>
      </w:pPr>
    </w:p>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14 tregues të përgjithshëm të PFM kanë qenë përcaktuar gjatë vitit 2017, nga të cilët dhjetë janë përmbushur, tre nuk janë përmbushur dhe për njërin nuk ka të dhëna të disponueshme. Ka pasur përmirësim të ecurisë së treguesve të përgjithshëm për vitin 2018 krahasuar me vitin 2017.</w:t>
      </w:r>
    </w:p>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 xml:space="preserve">Sa u përket treguesve specifikë të përgjithshëm të performancës, 18 nga 36 tregues janë përmbushur, shtatë nuk janë përmbushur dhe tre janë përmbushur pjesërisht. Për tetë nga treguesit nuk kishte të dhëna të disponueshme. </w:t>
      </w:r>
    </w:p>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Grafikët 1 dhe 2 në vijim paraqesin ecurinë e treguesve gjatë vitit 2018 krahasuar me vitin 2017.</w:t>
      </w:r>
    </w:p>
    <w:p w:rsidR="00221487" w:rsidRPr="00221487" w:rsidRDefault="00221487" w:rsidP="00221487">
      <w:pPr>
        <w:spacing w:after="0" w:line="240" w:lineRule="auto"/>
        <w:jc w:val="both"/>
        <w:rPr>
          <w:rFonts w:ascii="Times New Roman" w:eastAsia="Times" w:hAnsi="Times New Roman" w:cs="Times New Roman"/>
          <w:noProof/>
          <w:lang w:val="sq-AL"/>
        </w:rPr>
      </w:pPr>
    </w:p>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rPr>
        <w:drawing>
          <wp:inline distT="0" distB="0" distL="0" distR="0" wp14:anchorId="2F29F460" wp14:editId="7790C74F">
            <wp:extent cx="6297930" cy="2105025"/>
            <wp:effectExtent l="0" t="0" r="762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97930" cy="2105025"/>
                    </a:xfrm>
                    <a:prstGeom prst="rect">
                      <a:avLst/>
                    </a:prstGeom>
                    <a:noFill/>
                  </pic:spPr>
                </pic:pic>
              </a:graphicData>
            </a:graphic>
          </wp:inline>
        </w:drawing>
      </w:r>
    </w:p>
    <w:p w:rsidR="00221487" w:rsidRPr="00221487" w:rsidRDefault="00221487" w:rsidP="00221487">
      <w:pPr>
        <w:spacing w:after="0" w:line="240" w:lineRule="auto"/>
        <w:jc w:val="both"/>
        <w:rPr>
          <w:rFonts w:ascii="Times New Roman" w:eastAsia="Times" w:hAnsi="Times New Roman" w:cs="Times New Roman"/>
          <w:noProof/>
          <w:lang w:val="sq-AL"/>
        </w:rPr>
      </w:pPr>
    </w:p>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Ky raport ofron një vlerësim të kritereve të pranueshmërisë së Menaxhimit të Financave Publike (MFP) për BE-në që të sigurojë mbështetje buxhetore për Shqipërinë. Kriteret e përshtatshmërisë së MFP-së kërkojnë që të ketë një program të besueshëm dhe të rëndësishëm për të përmirësuar menaxhimin financiar publik dhe ka një progres të kënaqshëm në zbatimin e programit për të përmirësuar menaxhimin financiar publik. Është e qartë se përparimi në fushat e MFP-së është i kënaqshëm dhe ka disa reforma që po përparojnë dhe vazhdojnë të zbatohen. Gjatë vitit 2018, siç tregohet më poshtë (Grafiku nr. 3), 29% e aktiviteteve janë përfunduar, 69% janë në zbatim dhe 2% ende nuk ka filluar.</w:t>
      </w:r>
    </w:p>
    <w:p w:rsidR="00221487" w:rsidRPr="00221487" w:rsidRDefault="00221487" w:rsidP="00221487">
      <w:pPr>
        <w:spacing w:after="0" w:line="240" w:lineRule="auto"/>
        <w:jc w:val="both"/>
        <w:rPr>
          <w:rFonts w:ascii="Times New Roman" w:eastAsia="Times New Roman" w:hAnsi="Times New Roman" w:cs="Times New Roman"/>
          <w:noProof/>
          <w:highlight w:val="yellow"/>
          <w:lang w:val="sq-AL"/>
        </w:rPr>
      </w:pPr>
    </w:p>
    <w:tbl>
      <w:tblPr>
        <w:tblW w:w="9038" w:type="dxa"/>
        <w:tblBorders>
          <w:top w:val="single" w:sz="4" w:space="0" w:color="auto"/>
          <w:bottom w:val="single" w:sz="4" w:space="0" w:color="auto"/>
        </w:tblBorders>
        <w:tblLayout w:type="fixed"/>
        <w:tblLook w:val="04A0" w:firstRow="1" w:lastRow="0" w:firstColumn="1" w:lastColumn="0" w:noHBand="0" w:noVBand="1"/>
      </w:tblPr>
      <w:tblGrid>
        <w:gridCol w:w="6062"/>
        <w:gridCol w:w="2976"/>
      </w:tblGrid>
      <w:tr w:rsidR="00221487" w:rsidRPr="00221487" w:rsidTr="004342D7">
        <w:trPr>
          <w:trHeight w:val="3293"/>
        </w:trPr>
        <w:tc>
          <w:tcPr>
            <w:tcW w:w="6062" w:type="dxa"/>
          </w:tcPr>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bCs/>
                <w:noProof/>
                <w:lang w:val="sq-AL"/>
              </w:rPr>
              <w:t xml:space="preserve">Grafiku 3: </w:t>
            </w:r>
            <w:r w:rsidRPr="00221487">
              <w:rPr>
                <w:rFonts w:ascii="Times New Roman" w:eastAsia="Times New Roman" w:hAnsi="Times New Roman" w:cs="Times New Roman"/>
                <w:noProof/>
                <w:lang w:val="sq-AL"/>
              </w:rPr>
              <w:t>Gjendja e aktiviteteve për  vitin 2018</w:t>
            </w:r>
          </w:p>
          <w:p w:rsidR="00221487" w:rsidRPr="00221487" w:rsidRDefault="00221487" w:rsidP="00221487">
            <w:pPr>
              <w:spacing w:after="0" w:line="240" w:lineRule="auto"/>
              <w:jc w:val="both"/>
              <w:rPr>
                <w:rFonts w:ascii="Times New Roman" w:eastAsia="Times" w:hAnsi="Times New Roman" w:cs="Times New Roman"/>
                <w:noProof/>
                <w:highlight w:val="yellow"/>
                <w:lang w:val="sq-AL"/>
              </w:rPr>
            </w:pPr>
            <w:r w:rsidRPr="00221487">
              <w:rPr>
                <w:rFonts w:ascii="Times New Roman" w:eastAsia="Times New Roman" w:hAnsi="Times New Roman" w:cs="Times New Roman"/>
                <w:noProof/>
              </w:rPr>
              <w:drawing>
                <wp:inline distT="0" distB="0" distL="0" distR="0" wp14:anchorId="083B29FF" wp14:editId="60C6DEB2">
                  <wp:extent cx="3219450" cy="1800225"/>
                  <wp:effectExtent l="0" t="0" r="19050" b="952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2976" w:type="dxa"/>
          </w:tcPr>
          <w:p w:rsidR="00221487" w:rsidRPr="00221487" w:rsidRDefault="00221487" w:rsidP="00221487">
            <w:pPr>
              <w:spacing w:after="0" w:line="240" w:lineRule="auto"/>
              <w:jc w:val="both"/>
              <w:rPr>
                <w:rFonts w:ascii="Times New Roman" w:eastAsia="Times" w:hAnsi="Times New Roman" w:cs="Times New Roman"/>
                <w:noProof/>
                <w:highlight w:val="yellow"/>
                <w:lang w:val="sq-AL"/>
              </w:rPr>
            </w:pPr>
          </w:p>
          <w:p w:rsidR="00221487" w:rsidRPr="00221487" w:rsidRDefault="00221487" w:rsidP="00221487">
            <w:pPr>
              <w:spacing w:after="0" w:line="240" w:lineRule="auto"/>
              <w:jc w:val="both"/>
              <w:rPr>
                <w:rFonts w:ascii="Times New Roman" w:eastAsia="Times" w:hAnsi="Times New Roman" w:cs="Times New Roman"/>
                <w:noProof/>
                <w:highlight w:val="yellow"/>
                <w:lang w:val="sq-AL"/>
              </w:rPr>
            </w:pPr>
          </w:p>
          <w:p w:rsidR="00221487" w:rsidRPr="00221487" w:rsidRDefault="00221487" w:rsidP="00221487">
            <w:pPr>
              <w:spacing w:after="0" w:line="240" w:lineRule="auto"/>
              <w:jc w:val="both"/>
              <w:rPr>
                <w:rFonts w:ascii="Times New Roman" w:eastAsia="Times" w:hAnsi="Times New Roman" w:cs="Times New Roman"/>
                <w:noProof/>
                <w:highlight w:val="yellow"/>
                <w:lang w:val="sq-AL"/>
              </w:rPr>
            </w:pPr>
          </w:p>
          <w:p w:rsidR="00221487" w:rsidRPr="00221487" w:rsidRDefault="00221487" w:rsidP="00221487">
            <w:pPr>
              <w:spacing w:after="0" w:line="240" w:lineRule="auto"/>
              <w:jc w:val="both"/>
              <w:rPr>
                <w:rFonts w:ascii="Times New Roman" w:eastAsia="Times" w:hAnsi="Times New Roman" w:cs="Times New Roman"/>
                <w:noProof/>
                <w:highlight w:val="yellow"/>
                <w:lang w:val="sq-AL"/>
              </w:rPr>
            </w:pPr>
          </w:p>
          <w:tbl>
            <w:tblPr>
              <w:tblW w:w="2156" w:type="dxa"/>
              <w:tblLayout w:type="fixed"/>
              <w:tblLook w:val="04A0" w:firstRow="1" w:lastRow="0" w:firstColumn="1" w:lastColumn="0" w:noHBand="0" w:noVBand="1"/>
            </w:tblPr>
            <w:tblGrid>
              <w:gridCol w:w="1683"/>
              <w:gridCol w:w="473"/>
            </w:tblGrid>
            <w:tr w:rsidR="00221487" w:rsidRPr="00221487" w:rsidTr="004342D7">
              <w:trPr>
                <w:trHeight w:val="315"/>
              </w:trPr>
              <w:tc>
                <w:tcPr>
                  <w:tcW w:w="2156" w:type="dxa"/>
                  <w:gridSpan w:val="2"/>
                  <w:tcBorders>
                    <w:top w:val="nil"/>
                    <w:left w:val="nil"/>
                    <w:bottom w:val="single" w:sz="8" w:space="0" w:color="auto"/>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lang w:val="sq-AL" w:eastAsia="sq-AL"/>
                    </w:rPr>
                  </w:pPr>
                  <w:r w:rsidRPr="00221487">
                    <w:rPr>
                      <w:rFonts w:ascii="Times New Roman" w:eastAsia="Times New Roman" w:hAnsi="Times New Roman" w:cs="Times New Roman"/>
                      <w:noProof/>
                      <w:lang w:val="sq-AL" w:eastAsia="sq-AL"/>
                    </w:rPr>
                    <w:t>Nr i aktiviteteve</w:t>
                  </w:r>
                </w:p>
              </w:tc>
            </w:tr>
            <w:tr w:rsidR="00221487" w:rsidRPr="00221487" w:rsidTr="004342D7">
              <w:trPr>
                <w:trHeight w:val="300"/>
              </w:trPr>
              <w:tc>
                <w:tcPr>
                  <w:tcW w:w="1683" w:type="dxa"/>
                  <w:tcBorders>
                    <w:top w:val="nil"/>
                    <w:left w:val="nil"/>
                    <w:bottom w:val="nil"/>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lang w:val="sq-AL" w:eastAsia="sq-AL"/>
                    </w:rPr>
                  </w:pPr>
                  <w:r w:rsidRPr="00221487">
                    <w:rPr>
                      <w:rFonts w:ascii="Times New Roman" w:eastAsia="Times New Roman" w:hAnsi="Times New Roman" w:cs="Times New Roman"/>
                      <w:noProof/>
                      <w:lang w:val="sq-AL" w:eastAsia="sq-AL"/>
                    </w:rPr>
                    <w:t>Përfunduar</w:t>
                  </w:r>
                </w:p>
              </w:tc>
              <w:tc>
                <w:tcPr>
                  <w:tcW w:w="473" w:type="dxa"/>
                  <w:tcBorders>
                    <w:top w:val="nil"/>
                    <w:left w:val="nil"/>
                    <w:bottom w:val="nil"/>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lang w:val="sq-AL" w:eastAsia="sq-AL"/>
                    </w:rPr>
                  </w:pPr>
                  <w:r w:rsidRPr="00221487">
                    <w:rPr>
                      <w:rFonts w:ascii="Times New Roman" w:eastAsia="Times New Roman" w:hAnsi="Times New Roman" w:cs="Times New Roman"/>
                      <w:noProof/>
                      <w:lang w:val="sq-AL" w:eastAsia="sq-AL"/>
                    </w:rPr>
                    <w:t>18</w:t>
                  </w:r>
                </w:p>
              </w:tc>
            </w:tr>
            <w:tr w:rsidR="00221487" w:rsidRPr="00221487" w:rsidTr="004342D7">
              <w:trPr>
                <w:trHeight w:val="300"/>
              </w:trPr>
              <w:tc>
                <w:tcPr>
                  <w:tcW w:w="1683" w:type="dxa"/>
                  <w:tcBorders>
                    <w:top w:val="nil"/>
                    <w:left w:val="nil"/>
                    <w:bottom w:val="nil"/>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lang w:val="sq-AL" w:eastAsia="sq-AL"/>
                    </w:rPr>
                  </w:pPr>
                  <w:r w:rsidRPr="00221487">
                    <w:rPr>
                      <w:rFonts w:ascii="Times New Roman" w:eastAsia="Times New Roman" w:hAnsi="Times New Roman" w:cs="Times New Roman"/>
                      <w:noProof/>
                      <w:lang w:val="sq-AL" w:eastAsia="sq-AL"/>
                    </w:rPr>
                    <w:t>Në proces</w:t>
                  </w:r>
                </w:p>
              </w:tc>
              <w:tc>
                <w:tcPr>
                  <w:tcW w:w="473" w:type="dxa"/>
                  <w:tcBorders>
                    <w:top w:val="nil"/>
                    <w:left w:val="nil"/>
                    <w:bottom w:val="nil"/>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lang w:val="sq-AL" w:eastAsia="sq-AL"/>
                    </w:rPr>
                  </w:pPr>
                  <w:r w:rsidRPr="00221487">
                    <w:rPr>
                      <w:rFonts w:ascii="Times New Roman" w:eastAsia="Times New Roman" w:hAnsi="Times New Roman" w:cs="Times New Roman"/>
                      <w:noProof/>
                      <w:lang w:val="sq-AL" w:eastAsia="sq-AL"/>
                    </w:rPr>
                    <w:t>43</w:t>
                  </w:r>
                </w:p>
              </w:tc>
            </w:tr>
            <w:tr w:rsidR="00221487" w:rsidRPr="00221487" w:rsidTr="004342D7">
              <w:trPr>
                <w:trHeight w:val="315"/>
              </w:trPr>
              <w:tc>
                <w:tcPr>
                  <w:tcW w:w="1683" w:type="dxa"/>
                  <w:tcBorders>
                    <w:top w:val="nil"/>
                    <w:left w:val="nil"/>
                    <w:bottom w:val="single" w:sz="8" w:space="0" w:color="auto"/>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lang w:val="sq-AL" w:eastAsia="sq-AL"/>
                    </w:rPr>
                  </w:pPr>
                  <w:r w:rsidRPr="00221487">
                    <w:rPr>
                      <w:rFonts w:ascii="Times New Roman" w:eastAsia="Times New Roman" w:hAnsi="Times New Roman" w:cs="Times New Roman"/>
                      <w:noProof/>
                      <w:lang w:val="sq-AL" w:eastAsia="sq-AL"/>
                    </w:rPr>
                    <w:t>Nuk ka nisur</w:t>
                  </w:r>
                </w:p>
              </w:tc>
              <w:tc>
                <w:tcPr>
                  <w:tcW w:w="473" w:type="dxa"/>
                  <w:tcBorders>
                    <w:top w:val="nil"/>
                    <w:left w:val="nil"/>
                    <w:bottom w:val="single" w:sz="8" w:space="0" w:color="auto"/>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lang w:val="sq-AL" w:eastAsia="sq-AL"/>
                    </w:rPr>
                  </w:pPr>
                  <w:r w:rsidRPr="00221487">
                    <w:rPr>
                      <w:rFonts w:ascii="Times New Roman" w:eastAsia="Times New Roman" w:hAnsi="Times New Roman" w:cs="Times New Roman"/>
                      <w:noProof/>
                      <w:lang w:val="sq-AL" w:eastAsia="sq-AL"/>
                    </w:rPr>
                    <w:t>1</w:t>
                  </w:r>
                </w:p>
              </w:tc>
            </w:tr>
            <w:tr w:rsidR="00221487" w:rsidRPr="00221487" w:rsidTr="004342D7">
              <w:trPr>
                <w:trHeight w:val="300"/>
              </w:trPr>
              <w:tc>
                <w:tcPr>
                  <w:tcW w:w="1683" w:type="dxa"/>
                  <w:tcBorders>
                    <w:top w:val="nil"/>
                    <w:left w:val="nil"/>
                    <w:bottom w:val="nil"/>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lang w:val="sq-AL" w:eastAsia="sq-AL"/>
                    </w:rPr>
                  </w:pPr>
                </w:p>
              </w:tc>
              <w:tc>
                <w:tcPr>
                  <w:tcW w:w="473" w:type="dxa"/>
                  <w:tcBorders>
                    <w:top w:val="nil"/>
                    <w:left w:val="nil"/>
                    <w:bottom w:val="nil"/>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lang w:val="sq-AL" w:eastAsia="sq-AL"/>
                    </w:rPr>
                  </w:pPr>
                  <w:r w:rsidRPr="00221487">
                    <w:rPr>
                      <w:rFonts w:ascii="Times New Roman" w:eastAsia="Times New Roman" w:hAnsi="Times New Roman" w:cs="Times New Roman"/>
                      <w:noProof/>
                      <w:lang w:val="sq-AL" w:eastAsia="sq-AL"/>
                    </w:rPr>
                    <w:t>62</w:t>
                  </w:r>
                </w:p>
              </w:tc>
            </w:tr>
          </w:tbl>
          <w:p w:rsidR="00221487" w:rsidRPr="00221487" w:rsidRDefault="00221487" w:rsidP="00221487">
            <w:pPr>
              <w:spacing w:after="0" w:line="240" w:lineRule="auto"/>
              <w:jc w:val="both"/>
              <w:rPr>
                <w:rFonts w:ascii="Times New Roman" w:eastAsia="Times" w:hAnsi="Times New Roman" w:cs="Times New Roman"/>
                <w:noProof/>
                <w:highlight w:val="yellow"/>
                <w:lang w:val="sq-AL"/>
              </w:rPr>
            </w:pPr>
          </w:p>
          <w:p w:rsidR="00221487" w:rsidRPr="00221487" w:rsidRDefault="00221487" w:rsidP="00221487">
            <w:pPr>
              <w:spacing w:after="0" w:line="240" w:lineRule="auto"/>
              <w:jc w:val="both"/>
              <w:rPr>
                <w:rFonts w:ascii="Times New Roman" w:eastAsia="Times" w:hAnsi="Times New Roman" w:cs="Times New Roman"/>
                <w:noProof/>
                <w:highlight w:val="yellow"/>
                <w:lang w:val="sq-AL"/>
              </w:rPr>
            </w:pPr>
          </w:p>
        </w:tc>
      </w:tr>
    </w:tbl>
    <w:p w:rsidR="00221487" w:rsidRPr="00221487" w:rsidRDefault="00221487" w:rsidP="00221487">
      <w:pPr>
        <w:spacing w:after="0" w:line="240" w:lineRule="auto"/>
        <w:jc w:val="both"/>
        <w:rPr>
          <w:rFonts w:ascii="Times New Roman" w:eastAsia="Times" w:hAnsi="Times New Roman" w:cs="Times New Roman"/>
          <w:noProof/>
          <w:highlight w:val="yellow"/>
          <w:lang w:val="sq-AL"/>
        </w:rPr>
      </w:pPr>
    </w:p>
    <w:p w:rsidR="00221487" w:rsidRPr="00221487" w:rsidRDefault="00221487" w:rsidP="00221487">
      <w:pPr>
        <w:keepNext/>
        <w:numPr>
          <w:ilvl w:val="1"/>
          <w:numId w:val="0"/>
        </w:numPr>
        <w:spacing w:after="0" w:line="240" w:lineRule="auto"/>
        <w:ind w:left="420" w:hanging="420"/>
        <w:jc w:val="both"/>
        <w:outlineLvl w:val="1"/>
        <w:rPr>
          <w:rFonts w:ascii="Times New Roman" w:eastAsia="Times" w:hAnsi="Times New Roman" w:cs="Times New Roman"/>
          <w:b/>
          <w:bCs/>
          <w:noProof/>
          <w:lang w:val="sq-AL"/>
        </w:rPr>
      </w:pPr>
      <w:bookmarkStart w:id="15" w:name="_Toc3984448"/>
      <w:r w:rsidRPr="00221487">
        <w:rPr>
          <w:rFonts w:ascii="Times New Roman" w:eastAsia="Times" w:hAnsi="Times New Roman" w:cs="Times New Roman"/>
          <w:b/>
          <w:bCs/>
          <w:noProof/>
          <w:lang w:val="sq-AL"/>
        </w:rPr>
        <w:t xml:space="preserve">Instrumentet e Strategjisë MFP </w:t>
      </w:r>
      <w:bookmarkEnd w:id="15"/>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Për të arritur menaxhim modern dhe efikas të financave publike, Shqipëria ka miratuar disa instrumente të reformës: legjislacionin, ndryshimet kulturore dhe ri-inxhinierizimin e procesit, ngritjen e kapaciteteve dhe </w:t>
      </w:r>
      <w:r w:rsidRPr="00221487">
        <w:rPr>
          <w:rFonts w:ascii="Times New Roman" w:eastAsia="Times New Roman" w:hAnsi="Times New Roman" w:cs="Times New Roman"/>
          <w:noProof/>
          <w:lang w:val="sq-AL"/>
        </w:rPr>
        <w:lastRenderedPageBreak/>
        <w:t>zhvillimin e IT-së. Një përmbledhje e miratimit të këtyre instrumenteve gjatë vitit 2018 jepet më poshtë (Tabela 1):</w:t>
      </w:r>
    </w:p>
    <w:p w:rsidR="00221487" w:rsidRPr="00221487" w:rsidRDefault="00221487" w:rsidP="00221487">
      <w:pPr>
        <w:spacing w:after="0" w:line="240" w:lineRule="auto"/>
        <w:jc w:val="both"/>
        <w:rPr>
          <w:rFonts w:ascii="Times New Roman" w:eastAsia="Times"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w:hAnsi="Times New Roman" w:cs="Times New Roman"/>
          <w:noProof/>
          <w:lang w:val="sq-AL"/>
        </w:rPr>
        <w:t>Tabela 1 Instrumentet e Strategjisë MFP</w:t>
      </w:r>
    </w:p>
    <w:tbl>
      <w:tblPr>
        <w:tblW w:w="10627"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815"/>
        <w:gridCol w:w="5812"/>
      </w:tblGrid>
      <w:tr w:rsidR="00221487" w:rsidRPr="005B32A4" w:rsidTr="004342D7">
        <w:trPr>
          <w:trHeight w:val="71"/>
        </w:trPr>
        <w:tc>
          <w:tcPr>
            <w:tcW w:w="4815" w:type="dxa"/>
            <w:tcBorders>
              <w:top w:val="single" w:sz="4" w:space="0" w:color="auto"/>
              <w:left w:val="single" w:sz="4" w:space="0" w:color="auto"/>
            </w:tcBorders>
          </w:tcPr>
          <w:p w:rsidR="00221487" w:rsidRPr="00221487" w:rsidRDefault="00221487" w:rsidP="00221487">
            <w:pPr>
              <w:spacing w:after="0" w:line="240" w:lineRule="auto"/>
              <w:jc w:val="both"/>
              <w:rPr>
                <w:rFonts w:ascii="Times New Roman" w:eastAsia="Times" w:hAnsi="Times New Roman" w:cs="Times New Roman"/>
                <w:b/>
                <w:noProof/>
                <w:sz w:val="20"/>
                <w:szCs w:val="20"/>
                <w:lang w:val="sq-AL"/>
              </w:rPr>
            </w:pPr>
            <w:r w:rsidRPr="00221487">
              <w:rPr>
                <w:rFonts w:ascii="Times New Roman" w:eastAsia="Times" w:hAnsi="Times New Roman" w:cs="Times New Roman"/>
                <w:b/>
                <w:noProof/>
                <w:sz w:val="20"/>
                <w:szCs w:val="20"/>
                <w:lang w:val="sq-AL"/>
              </w:rPr>
              <w:t>Ndryshimet legjislative</w:t>
            </w:r>
          </w:p>
          <w:p w:rsidR="00221487" w:rsidRPr="00221487" w:rsidRDefault="00221487" w:rsidP="007C6F79">
            <w:pPr>
              <w:numPr>
                <w:ilvl w:val="0"/>
                <w:numId w:val="31"/>
              </w:numPr>
              <w:spacing w:after="0" w:line="240" w:lineRule="auto"/>
              <w:contextualSpacing/>
              <w:jc w:val="both"/>
              <w:rPr>
                <w:rFonts w:ascii="Times New Roman" w:eastAsia="Times" w:hAnsi="Times New Roman" w:cs="Times New Roman"/>
                <w:noProof/>
                <w:sz w:val="20"/>
                <w:szCs w:val="20"/>
                <w:lang w:val="sq-AL"/>
              </w:rPr>
            </w:pPr>
            <w:r w:rsidRPr="00221487">
              <w:rPr>
                <w:rFonts w:ascii="Times New Roman" w:eastAsia="Times" w:hAnsi="Times New Roman" w:cs="Times New Roman"/>
                <w:noProof/>
                <w:sz w:val="20"/>
                <w:szCs w:val="20"/>
                <w:lang w:val="sq-AL"/>
              </w:rPr>
              <w:t xml:space="preserve">Ligji 25/2018 "Mbi Kontabilitetin dhe Pasqyrat Financiare"; </w:t>
            </w:r>
          </w:p>
          <w:p w:rsidR="00221487" w:rsidRPr="00221487" w:rsidRDefault="00221487" w:rsidP="007C6F79">
            <w:pPr>
              <w:numPr>
                <w:ilvl w:val="0"/>
                <w:numId w:val="31"/>
              </w:numPr>
              <w:spacing w:after="0" w:line="240" w:lineRule="auto"/>
              <w:contextualSpacing/>
              <w:jc w:val="both"/>
              <w:rPr>
                <w:rFonts w:ascii="Times New Roman" w:eastAsia="Times New Roman" w:hAnsi="Times New Roman" w:cs="Times New Roman"/>
                <w:noProof/>
                <w:sz w:val="20"/>
                <w:lang w:val="sq-AL"/>
              </w:rPr>
            </w:pPr>
            <w:r w:rsidRPr="00221487">
              <w:rPr>
                <w:rFonts w:ascii="Times New Roman" w:eastAsia="Times New Roman" w:hAnsi="Times New Roman" w:cs="Times New Roman"/>
                <w:noProof/>
                <w:sz w:val="20"/>
                <w:lang w:val="sq-AL"/>
              </w:rPr>
              <w:t>Disa ndryshime ligjore në kuadrin e përmirësimit të proceseve të punës së DPT hynë në fuqi me paketën e re fiskale më 01.01.2019.</w:t>
            </w:r>
          </w:p>
          <w:p w:rsidR="00221487" w:rsidRPr="00221487" w:rsidRDefault="00221487" w:rsidP="00221487">
            <w:pPr>
              <w:spacing w:after="0" w:line="240" w:lineRule="auto"/>
              <w:jc w:val="both"/>
              <w:rPr>
                <w:rFonts w:ascii="Times New Roman" w:eastAsia="Times" w:hAnsi="Times New Roman" w:cs="Times New Roman"/>
                <w:b/>
                <w:noProof/>
                <w:sz w:val="20"/>
                <w:szCs w:val="20"/>
                <w:lang w:val="sq-AL"/>
              </w:rPr>
            </w:pPr>
          </w:p>
          <w:p w:rsidR="00221487" w:rsidRPr="00221487" w:rsidRDefault="00221487" w:rsidP="007C6F79">
            <w:pPr>
              <w:numPr>
                <w:ilvl w:val="0"/>
                <w:numId w:val="31"/>
              </w:numPr>
              <w:spacing w:after="0" w:line="240" w:lineRule="auto"/>
              <w:contextualSpacing/>
              <w:jc w:val="both"/>
              <w:rPr>
                <w:rFonts w:ascii="Times New Roman" w:eastAsia="Times" w:hAnsi="Times New Roman" w:cs="Times New Roman"/>
                <w:b/>
                <w:noProof/>
                <w:sz w:val="20"/>
                <w:szCs w:val="20"/>
                <w:lang w:val="sq-AL"/>
              </w:rPr>
            </w:pPr>
            <w:r w:rsidRPr="00221487">
              <w:rPr>
                <w:rFonts w:ascii="Times New Roman" w:eastAsia="Times" w:hAnsi="Times New Roman" w:cs="Times New Roman"/>
                <w:noProof/>
                <w:sz w:val="20"/>
                <w:szCs w:val="20"/>
                <w:lang w:val="sq-AL"/>
              </w:rPr>
              <w:t xml:space="preserve">Dolën 27 vendime, udhëzues, manualë, udhëzime të reja. </w:t>
            </w:r>
          </w:p>
          <w:p w:rsidR="00221487" w:rsidRPr="00221487" w:rsidRDefault="00221487" w:rsidP="00221487">
            <w:pPr>
              <w:spacing w:after="0" w:line="240" w:lineRule="auto"/>
              <w:jc w:val="both"/>
              <w:rPr>
                <w:rFonts w:ascii="Times New Roman" w:eastAsia="Times" w:hAnsi="Times New Roman" w:cs="Times New Roman"/>
                <w:b/>
                <w:noProof/>
                <w:sz w:val="20"/>
                <w:szCs w:val="20"/>
                <w:lang w:val="sq-AL"/>
              </w:rPr>
            </w:pPr>
            <w:r w:rsidRPr="00221487">
              <w:rPr>
                <w:rFonts w:ascii="Times New Roman" w:eastAsia="Times" w:hAnsi="Times New Roman" w:cs="Times New Roman"/>
                <w:b/>
                <w:noProof/>
                <w:sz w:val="20"/>
                <w:szCs w:val="20"/>
                <w:lang w:val="sq-AL"/>
              </w:rPr>
              <w:t>Aktivitete për zhvillimin e kapaciteteve:</w:t>
            </w:r>
          </w:p>
          <w:p w:rsidR="00221487" w:rsidRPr="00221487" w:rsidRDefault="00221487" w:rsidP="007C6F79">
            <w:pPr>
              <w:numPr>
                <w:ilvl w:val="0"/>
                <w:numId w:val="31"/>
              </w:numPr>
              <w:spacing w:after="0" w:line="240" w:lineRule="auto"/>
              <w:contextualSpacing/>
              <w:jc w:val="both"/>
              <w:rPr>
                <w:rFonts w:ascii="Times New Roman" w:eastAsia="Times" w:hAnsi="Times New Roman" w:cs="Times New Roman"/>
                <w:noProof/>
                <w:sz w:val="20"/>
                <w:szCs w:val="20"/>
                <w:lang w:val="sq-AL"/>
              </w:rPr>
            </w:pPr>
            <w:r w:rsidRPr="00221487">
              <w:rPr>
                <w:rFonts w:ascii="Times New Roman" w:eastAsia="Times" w:hAnsi="Times New Roman" w:cs="Times New Roman"/>
                <w:noProof/>
                <w:sz w:val="20"/>
                <w:lang w:val="sq-AL"/>
              </w:rPr>
              <w:t>3,225</w:t>
            </w:r>
            <w:r w:rsidRPr="00221487">
              <w:rPr>
                <w:rFonts w:ascii="Times New Roman" w:eastAsia="Times" w:hAnsi="Times New Roman" w:cs="Times New Roman"/>
                <w:noProof/>
                <w:sz w:val="20"/>
                <w:szCs w:val="20"/>
                <w:lang w:val="sq-AL"/>
              </w:rPr>
              <w:t xml:space="preserve"> punonjës u trajnuan gjatë vitit 2018.</w:t>
            </w:r>
          </w:p>
          <w:p w:rsidR="00221487" w:rsidRPr="00221487" w:rsidRDefault="00221487" w:rsidP="007C6F79">
            <w:pPr>
              <w:numPr>
                <w:ilvl w:val="0"/>
                <w:numId w:val="31"/>
              </w:numPr>
              <w:spacing w:after="0" w:line="240" w:lineRule="auto"/>
              <w:contextualSpacing/>
              <w:jc w:val="both"/>
              <w:rPr>
                <w:rFonts w:ascii="Times New Roman" w:eastAsia="Times" w:hAnsi="Times New Roman" w:cs="Times New Roman"/>
                <w:noProof/>
                <w:sz w:val="20"/>
                <w:szCs w:val="20"/>
                <w:lang w:val="sq-AL"/>
              </w:rPr>
            </w:pPr>
            <w:r w:rsidRPr="00221487">
              <w:rPr>
                <w:rFonts w:ascii="Times New Roman" w:eastAsia="Times New Roman" w:hAnsi="Times New Roman" w:cs="Times New Roman"/>
                <w:noProof/>
                <w:sz w:val="20"/>
                <w:szCs w:val="20"/>
                <w:lang w:val="sq-AL"/>
              </w:rPr>
              <w:t xml:space="preserve">Asistenca Teknike e BE-së kryesisht në mbështetje të MFE-së për forcimin e kapaciteteve për zbatimin e Strategjisë së Menaxhimit të Financave Publike ka organizuar disa seminarë praktikë. </w:t>
            </w:r>
            <w:r w:rsidRPr="00221487">
              <w:rPr>
                <w:rFonts w:ascii="Times New Roman" w:eastAsia="Times" w:hAnsi="Times New Roman" w:cs="Times New Roman"/>
                <w:noProof/>
                <w:sz w:val="20"/>
                <w:szCs w:val="20"/>
                <w:lang w:val="sq-AL"/>
              </w:rPr>
              <w:t xml:space="preserve"> </w:t>
            </w:r>
          </w:p>
          <w:p w:rsidR="00221487" w:rsidRPr="00221487" w:rsidRDefault="00221487" w:rsidP="007C6F79">
            <w:pPr>
              <w:numPr>
                <w:ilvl w:val="0"/>
                <w:numId w:val="31"/>
              </w:numPr>
              <w:spacing w:after="0" w:line="240" w:lineRule="auto"/>
              <w:contextualSpacing/>
              <w:jc w:val="both"/>
              <w:rPr>
                <w:rFonts w:ascii="Times New Roman" w:eastAsia="Times" w:hAnsi="Times New Roman" w:cs="Times New Roman"/>
                <w:noProof/>
                <w:sz w:val="20"/>
                <w:szCs w:val="20"/>
                <w:lang w:val="sq-AL"/>
              </w:rPr>
            </w:pPr>
            <w:r w:rsidRPr="00221487">
              <w:rPr>
                <w:rFonts w:ascii="Times New Roman" w:eastAsia="Times" w:hAnsi="Times New Roman" w:cs="Times New Roman"/>
                <w:noProof/>
                <w:sz w:val="20"/>
                <w:szCs w:val="20"/>
                <w:lang w:val="sq-AL"/>
              </w:rPr>
              <w:t>Asistencë teknike u ofrohet MFE-së dhe INSTAT-it nga Sekretariati Shtetëror për Çështje Ekonomike. Ky projekt mbështet zbatimin e Manualit të Statistikave Financiare të Qeverisë (SFQM) dhe 2010.</w:t>
            </w:r>
          </w:p>
        </w:tc>
        <w:tc>
          <w:tcPr>
            <w:tcW w:w="5812" w:type="dxa"/>
            <w:tcBorders>
              <w:top w:val="single" w:sz="4" w:space="0" w:color="auto"/>
              <w:right w:val="single" w:sz="4" w:space="0" w:color="auto"/>
            </w:tcBorders>
          </w:tcPr>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b/>
                <w:i/>
                <w:noProof/>
                <w:lang w:val="sq-AL"/>
              </w:rPr>
              <w:t xml:space="preserve">Zhvillimi i një </w:t>
            </w:r>
            <w:r w:rsidRPr="00221487">
              <w:rPr>
                <w:rFonts w:ascii="Times New Roman" w:eastAsia="Times" w:hAnsi="Times New Roman" w:cs="Times New Roman"/>
                <w:b/>
                <w:noProof/>
                <w:lang w:val="sq-AL"/>
              </w:rPr>
              <w:t xml:space="preserve">Sistemi </w:t>
            </w:r>
            <w:r w:rsidRPr="00221487">
              <w:rPr>
                <w:rFonts w:ascii="Times New Roman" w:eastAsia="Times" w:hAnsi="Times New Roman" w:cs="Times New Roman"/>
                <w:b/>
                <w:i/>
                <w:noProof/>
                <w:lang w:val="sq-AL"/>
              </w:rPr>
              <w:t>të plotë</w:t>
            </w:r>
            <w:r w:rsidRPr="00221487">
              <w:rPr>
                <w:rFonts w:ascii="Times New Roman" w:eastAsia="Times" w:hAnsi="Times New Roman" w:cs="Times New Roman"/>
                <w:b/>
                <w:noProof/>
                <w:lang w:val="sq-AL"/>
              </w:rPr>
              <w:t xml:space="preserve"> të Menaxhimit të Integruar Financiar   (SMIF)</w:t>
            </w:r>
            <w:r w:rsidRPr="00221487">
              <w:rPr>
                <w:rFonts w:ascii="Times New Roman" w:eastAsia="Times" w:hAnsi="Times New Roman" w:cs="Times New Roman"/>
                <w:noProof/>
                <w:lang w:val="sq-AL"/>
              </w:rPr>
              <w:t xml:space="preserve"> </w:t>
            </w:r>
          </w:p>
          <w:p w:rsidR="00221487" w:rsidRPr="00221487" w:rsidRDefault="00221487" w:rsidP="007C6F79">
            <w:pPr>
              <w:numPr>
                <w:ilvl w:val="0"/>
                <w:numId w:val="26"/>
              </w:numPr>
              <w:spacing w:after="0" w:line="240" w:lineRule="auto"/>
              <w:contextualSpacing/>
              <w:jc w:val="both"/>
              <w:rPr>
                <w:rFonts w:ascii="Times New Roman" w:eastAsia="Times" w:hAnsi="Times New Roman" w:cs="Times New Roman"/>
                <w:noProof/>
                <w:sz w:val="20"/>
                <w:szCs w:val="20"/>
                <w:lang w:val="sq-AL"/>
              </w:rPr>
            </w:pPr>
            <w:r w:rsidRPr="00221487">
              <w:rPr>
                <w:rFonts w:ascii="Times New Roman" w:eastAsia="Times" w:hAnsi="Times New Roman" w:cs="Times New Roman"/>
                <w:noProof/>
                <w:sz w:val="20"/>
                <w:szCs w:val="20"/>
                <w:lang w:val="sq-AL"/>
              </w:rPr>
              <w:t>Aplikacioni Boost është i disponueshëm në faqen e internetit të MFE-së që prej prillit 2018.</w:t>
            </w:r>
          </w:p>
          <w:p w:rsidR="00221487" w:rsidRPr="00221487" w:rsidRDefault="00221487" w:rsidP="007C6F79">
            <w:pPr>
              <w:numPr>
                <w:ilvl w:val="0"/>
                <w:numId w:val="26"/>
              </w:numPr>
              <w:spacing w:after="0" w:line="240" w:lineRule="auto"/>
              <w:contextualSpacing/>
              <w:jc w:val="both"/>
              <w:rPr>
                <w:rFonts w:ascii="Times New Roman" w:eastAsia="Times" w:hAnsi="Times New Roman" w:cs="Times New Roman"/>
                <w:noProof/>
                <w:sz w:val="20"/>
                <w:szCs w:val="20"/>
                <w:lang w:val="sq-AL"/>
              </w:rPr>
            </w:pPr>
            <w:r w:rsidRPr="00221487">
              <w:rPr>
                <w:rFonts w:ascii="Times New Roman" w:eastAsia="Times" w:hAnsi="Times New Roman" w:cs="Times New Roman"/>
                <w:noProof/>
                <w:sz w:val="20"/>
                <w:szCs w:val="20"/>
                <w:lang w:val="sq-AL"/>
              </w:rPr>
              <w:t xml:space="preserve">U zhvillua testimi i brendshëm në lidhje me integrimin e SIMFSH me sisteme të tjera (SISPI, SIMNH, SIMBNJ, sistemin e Doganave dhe APP). U krye testimi i zbatimit të kodit të jashtëm në SIFQ. Gjithashtu, u krye migrimi i të dhënave në proshimin PBA për PBA-në 2019-2021 në modulin e ri të PBA-së në SIFQ. </w:t>
            </w:r>
          </w:p>
          <w:p w:rsidR="00221487" w:rsidRPr="00221487" w:rsidRDefault="00221487" w:rsidP="007C6F79">
            <w:pPr>
              <w:numPr>
                <w:ilvl w:val="0"/>
                <w:numId w:val="26"/>
              </w:numPr>
              <w:spacing w:after="0" w:line="259" w:lineRule="auto"/>
              <w:contextualSpacing/>
              <w:jc w:val="both"/>
              <w:rPr>
                <w:rFonts w:ascii="Times New Roman" w:eastAsia="Times New Roman" w:hAnsi="Times New Roman" w:cs="Times New Roman"/>
                <w:noProof/>
                <w:sz w:val="20"/>
                <w:lang w:val="sq-AL"/>
              </w:rPr>
            </w:pPr>
            <w:r w:rsidRPr="00221487">
              <w:rPr>
                <w:rFonts w:ascii="Times New Roman" w:eastAsia="Times New Roman" w:hAnsi="Times New Roman" w:cs="Times New Roman"/>
                <w:noProof/>
                <w:sz w:val="20"/>
                <w:lang w:val="sq-AL"/>
              </w:rPr>
              <w:t xml:space="preserve">Ndërfaqet e integrimit u zhvilluan në sistemin SIMNH dhe u testuan me sukses me të dhënat e pavlefshme (skedarët XML).  Sistemi SIMNH system është në përdorim dhe mund të aksesohet nëpërmjet adresës publike </w:t>
            </w:r>
            <w:hyperlink r:id="rId10" w:history="1">
              <w:r w:rsidRPr="00221487">
                <w:rPr>
                  <w:rFonts w:ascii="Times New Roman" w:eastAsia="Times" w:hAnsi="Times New Roman" w:cs="Times New Roman"/>
                  <w:noProof/>
                  <w:color w:val="0000FF"/>
                  <w:sz w:val="20"/>
                  <w:u w:val="single"/>
                  <w:lang w:val="sq-AL"/>
                </w:rPr>
                <w:t>https://SIMNH.gov.al/mofe/</w:t>
              </w:r>
            </w:hyperlink>
            <w:r w:rsidRPr="00221487">
              <w:rPr>
                <w:rFonts w:ascii="Times New Roman" w:eastAsia="Times New Roman" w:hAnsi="Times New Roman" w:cs="Times New Roman"/>
                <w:noProof/>
                <w:sz w:val="20"/>
                <w:lang w:val="sq-AL"/>
              </w:rPr>
              <w:t>.</w:t>
            </w:r>
          </w:p>
          <w:p w:rsidR="00221487" w:rsidRPr="00221487" w:rsidRDefault="00221487" w:rsidP="007C6F79">
            <w:pPr>
              <w:numPr>
                <w:ilvl w:val="0"/>
                <w:numId w:val="26"/>
              </w:numPr>
              <w:spacing w:after="0" w:line="240" w:lineRule="auto"/>
              <w:contextualSpacing/>
              <w:jc w:val="both"/>
              <w:rPr>
                <w:rFonts w:ascii="Times New Roman" w:eastAsia="Times" w:hAnsi="Times New Roman" w:cs="Times New Roman"/>
                <w:noProof/>
                <w:sz w:val="18"/>
                <w:szCs w:val="20"/>
                <w:lang w:val="sq-AL"/>
              </w:rPr>
            </w:pPr>
            <w:r w:rsidRPr="00221487">
              <w:rPr>
                <w:rFonts w:ascii="Times New Roman" w:eastAsia="Times New Roman" w:hAnsi="Times New Roman" w:cs="Times New Roman"/>
                <w:noProof/>
                <w:sz w:val="20"/>
                <w:lang w:val="sq-AL"/>
              </w:rPr>
              <w:t>Sistemi SIMNH do të integrohet me sisteme të tjerë qeveritsarë, përfshirë SISPI, SIMFSH dhe ATRAKO</w:t>
            </w:r>
          </w:p>
          <w:p w:rsidR="00221487" w:rsidRPr="00221487" w:rsidRDefault="00221487" w:rsidP="007C6F79">
            <w:pPr>
              <w:numPr>
                <w:ilvl w:val="0"/>
                <w:numId w:val="26"/>
              </w:numPr>
              <w:spacing w:after="0" w:line="240" w:lineRule="auto"/>
              <w:contextualSpacing/>
              <w:jc w:val="both"/>
              <w:rPr>
                <w:rFonts w:ascii="Times New Roman" w:eastAsia="Times New Roman" w:hAnsi="Times New Roman" w:cs="Times New Roman"/>
                <w:noProof/>
                <w:sz w:val="20"/>
                <w:lang w:val="sq-AL"/>
              </w:rPr>
            </w:pPr>
            <w:r w:rsidRPr="00221487">
              <w:rPr>
                <w:rFonts w:ascii="Times New Roman" w:eastAsia="Times New Roman" w:hAnsi="Times New Roman" w:cs="Times New Roman"/>
                <w:noProof/>
                <w:sz w:val="20"/>
                <w:lang w:val="sq-AL"/>
              </w:rPr>
              <w:t>Një nën-menu e dedikuar “Denonco korrupsionin me fondet publike” shtohet në faqen zyrtare të MFE-së.</w:t>
            </w:r>
          </w:p>
          <w:p w:rsidR="00221487" w:rsidRPr="00221487" w:rsidRDefault="00221487" w:rsidP="00221487">
            <w:pPr>
              <w:spacing w:after="0" w:line="240" w:lineRule="auto"/>
              <w:ind w:left="360"/>
              <w:contextualSpacing/>
              <w:jc w:val="both"/>
              <w:rPr>
                <w:rFonts w:ascii="Times New Roman" w:eastAsia="Times" w:hAnsi="Times New Roman" w:cs="Times New Roman"/>
                <w:noProof/>
                <w:sz w:val="20"/>
                <w:szCs w:val="20"/>
                <w:lang w:val="sq-AL"/>
              </w:rPr>
            </w:pPr>
          </w:p>
          <w:p w:rsidR="00221487" w:rsidRPr="00221487" w:rsidRDefault="00221487" w:rsidP="00221487">
            <w:pPr>
              <w:spacing w:after="0" w:line="240" w:lineRule="auto"/>
              <w:jc w:val="both"/>
              <w:rPr>
                <w:rFonts w:ascii="Times New Roman" w:eastAsia="Times" w:hAnsi="Times New Roman" w:cs="Times New Roman"/>
                <w:noProof/>
                <w:sz w:val="20"/>
                <w:szCs w:val="20"/>
                <w:lang w:val="sq-AL"/>
              </w:rPr>
            </w:pPr>
          </w:p>
          <w:p w:rsidR="00221487" w:rsidRPr="00221487" w:rsidRDefault="00221487" w:rsidP="00221487">
            <w:pPr>
              <w:spacing w:after="0" w:line="240" w:lineRule="auto"/>
              <w:jc w:val="both"/>
              <w:rPr>
                <w:rFonts w:ascii="Times New Roman" w:eastAsia="Times" w:hAnsi="Times New Roman" w:cs="Times New Roman"/>
                <w:b/>
                <w:noProof/>
                <w:sz w:val="20"/>
                <w:szCs w:val="20"/>
                <w:lang w:val="sq-AL"/>
              </w:rPr>
            </w:pPr>
            <w:r w:rsidRPr="00221487">
              <w:rPr>
                <w:rFonts w:ascii="Times New Roman" w:eastAsia="Times" w:hAnsi="Times New Roman" w:cs="Times New Roman"/>
                <w:b/>
                <w:noProof/>
                <w:sz w:val="20"/>
                <w:szCs w:val="20"/>
                <w:lang w:val="sq-AL"/>
              </w:rPr>
              <w:t>Ndryshime në procese dhe kulturën e drejtimit</w:t>
            </w:r>
          </w:p>
          <w:p w:rsidR="00221487" w:rsidRPr="00221487" w:rsidRDefault="00221487" w:rsidP="007C6F79">
            <w:pPr>
              <w:numPr>
                <w:ilvl w:val="0"/>
                <w:numId w:val="26"/>
              </w:numPr>
              <w:spacing w:after="0" w:line="240" w:lineRule="auto"/>
              <w:contextualSpacing/>
              <w:jc w:val="both"/>
              <w:rPr>
                <w:rFonts w:ascii="Times New Roman" w:eastAsia="Times" w:hAnsi="Times New Roman" w:cs="Times New Roman"/>
                <w:noProof/>
                <w:sz w:val="20"/>
                <w:szCs w:val="20"/>
                <w:lang w:val="sq-AL"/>
              </w:rPr>
            </w:pPr>
            <w:r w:rsidRPr="00221487">
              <w:rPr>
                <w:rFonts w:ascii="Times New Roman" w:eastAsia="Times" w:hAnsi="Times New Roman" w:cs="Times New Roman"/>
                <w:noProof/>
                <w:sz w:val="20"/>
                <w:szCs w:val="20"/>
                <w:lang w:val="sq-AL"/>
              </w:rPr>
              <w:t>Projekti i Bankës Botërore “Zhvillimi i Kontabilitetit në Sektorin Publik” nisi në 17.05.2018</w:t>
            </w:r>
          </w:p>
          <w:p w:rsidR="00221487" w:rsidRPr="00221487" w:rsidRDefault="00221487" w:rsidP="007C6F79">
            <w:pPr>
              <w:numPr>
                <w:ilvl w:val="0"/>
                <w:numId w:val="26"/>
              </w:numPr>
              <w:spacing w:after="35" w:line="240" w:lineRule="auto"/>
              <w:jc w:val="both"/>
              <w:rPr>
                <w:rFonts w:ascii="Times New Roman" w:eastAsia="Times New Roman" w:hAnsi="Times New Roman" w:cs="Times New Roman"/>
                <w:noProof/>
                <w:lang w:val="sq-AL"/>
              </w:rPr>
            </w:pPr>
            <w:r w:rsidRPr="00221487">
              <w:rPr>
                <w:rFonts w:ascii="Times New Roman" w:eastAsia="Times" w:hAnsi="Times New Roman" w:cs="Times New Roman"/>
                <w:noProof/>
                <w:sz w:val="20"/>
                <w:szCs w:val="20"/>
                <w:lang w:val="sq-AL"/>
              </w:rPr>
              <w:t>56 pjesëmarrës kryen një kurs trajnimi një-ditor mbi konceptet kyçe të kontabilitetit në sektorin ublik, pjesë e një trajnimi 5-ditor për kontrollin e brendshëm financiar dhe zbatimin në praktikë të elementëve kryesorë të KMF.</w:t>
            </w:r>
          </w:p>
          <w:p w:rsidR="00221487" w:rsidRPr="00221487" w:rsidRDefault="00221487" w:rsidP="007C6F79">
            <w:pPr>
              <w:numPr>
                <w:ilvl w:val="0"/>
                <w:numId w:val="26"/>
              </w:numPr>
              <w:spacing w:after="35"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sz w:val="20"/>
                <w:lang w:val="sq-AL"/>
              </w:rPr>
              <w:t xml:space="preserve">122 zyrtarë ekzekutues u trajnuan për kuadrin e ri të KMF.  </w:t>
            </w:r>
          </w:p>
          <w:p w:rsidR="00221487" w:rsidRPr="00221487" w:rsidRDefault="00221487" w:rsidP="007C6F79">
            <w:pPr>
              <w:numPr>
                <w:ilvl w:val="0"/>
                <w:numId w:val="26"/>
              </w:numPr>
              <w:spacing w:after="0" w:line="240" w:lineRule="auto"/>
              <w:contextualSpacing/>
              <w:jc w:val="both"/>
              <w:rPr>
                <w:rFonts w:ascii="Times New Roman" w:eastAsia="Times" w:hAnsi="Times New Roman" w:cs="Times New Roman"/>
                <w:noProof/>
                <w:sz w:val="20"/>
                <w:szCs w:val="20"/>
                <w:lang w:val="sq-AL"/>
              </w:rPr>
            </w:pPr>
            <w:r w:rsidRPr="00221487">
              <w:rPr>
                <w:rFonts w:ascii="Times New Roman" w:eastAsia="Times New Roman" w:hAnsi="Times New Roman" w:cs="Times New Roman"/>
                <w:noProof/>
                <w:sz w:val="20"/>
                <w:lang w:val="sq-AL"/>
              </w:rPr>
              <w:t>64 punonjës u trajnuan për konceptin “Llogaridhënie e drejtuesve”</w:t>
            </w:r>
          </w:p>
        </w:tc>
      </w:tr>
    </w:tbl>
    <w:p w:rsidR="00221487" w:rsidRPr="00221487" w:rsidRDefault="00221487" w:rsidP="00221487">
      <w:pPr>
        <w:spacing w:after="0" w:line="240" w:lineRule="auto"/>
        <w:rPr>
          <w:rFonts w:ascii="Times New Roman" w:eastAsia="Times New Roman" w:hAnsi="Times New Roman" w:cs="Times New Roman"/>
          <w:noProof/>
          <w:sz w:val="24"/>
          <w:szCs w:val="24"/>
          <w:lang w:val="sq-AL"/>
        </w:rPr>
      </w:pPr>
    </w:p>
    <w:p w:rsidR="00221487" w:rsidRPr="00221487" w:rsidRDefault="00221487" w:rsidP="00221487">
      <w:pPr>
        <w:spacing w:after="0" w:line="240" w:lineRule="auto"/>
        <w:jc w:val="both"/>
        <w:rPr>
          <w:rFonts w:ascii="Times New Roman" w:eastAsia="Times New Roman" w:hAnsi="Times New Roman" w:cs="Times New Roman"/>
          <w:noProof/>
          <w:szCs w:val="24"/>
          <w:lang w:val="sq-AL"/>
        </w:rPr>
      </w:pPr>
    </w:p>
    <w:p w:rsidR="00221487" w:rsidRPr="00221487" w:rsidRDefault="00221487" w:rsidP="00221487">
      <w:pPr>
        <w:spacing w:after="0" w:line="240" w:lineRule="auto"/>
        <w:jc w:val="both"/>
        <w:rPr>
          <w:rFonts w:ascii="Times New Roman" w:eastAsia="Times New Roman" w:hAnsi="Times New Roman" w:cs="Times New Roman"/>
          <w:noProof/>
          <w:szCs w:val="24"/>
          <w:lang w:val="sq-AL"/>
        </w:rPr>
      </w:pPr>
      <w:r w:rsidRPr="00221487">
        <w:rPr>
          <w:rFonts w:ascii="Times New Roman" w:eastAsia="Times New Roman" w:hAnsi="Times New Roman" w:cs="Times New Roman"/>
          <w:noProof/>
          <w:szCs w:val="24"/>
          <w:lang w:val="sq-AL"/>
        </w:rPr>
        <w:t>Si kontribut dytësor në reformën e MFP konsiderohen raporte të tjera financiare, të cilat janë rezultate nga aktorët kryesorë të MFP. Këto raporte prodhohen çdo vit për të paraqitur arritjet e secilit institucion dhe mund të arrihen lehtë në faqen e internetit të institucionit përkatës:</w:t>
      </w:r>
    </w:p>
    <w:p w:rsidR="00221487" w:rsidRPr="00221487" w:rsidRDefault="00221487" w:rsidP="00221487">
      <w:pPr>
        <w:spacing w:after="0" w:line="240" w:lineRule="auto"/>
        <w:jc w:val="both"/>
        <w:rPr>
          <w:rFonts w:ascii="Times New Roman" w:eastAsia="Times New Roman" w:hAnsi="Times New Roman" w:cs="Times New Roman"/>
          <w:noProof/>
          <w:szCs w:val="24"/>
          <w:lang w:val="sq-AL"/>
        </w:rPr>
      </w:pPr>
    </w:p>
    <w:p w:rsidR="00221487" w:rsidRPr="00221487" w:rsidRDefault="00221487" w:rsidP="007C6F79">
      <w:pPr>
        <w:numPr>
          <w:ilvl w:val="0"/>
          <w:numId w:val="27"/>
        </w:numPr>
        <w:spacing w:after="0" w:line="240" w:lineRule="auto"/>
        <w:contextualSpacing/>
        <w:jc w:val="both"/>
        <w:rPr>
          <w:rFonts w:ascii="Times New Roman" w:eastAsia="Times New Roman" w:hAnsi="Times New Roman" w:cs="Times New Roman"/>
          <w:noProof/>
          <w:szCs w:val="24"/>
          <w:lang w:val="sq-AL"/>
        </w:rPr>
      </w:pPr>
      <w:r w:rsidRPr="00221487">
        <w:rPr>
          <w:rFonts w:ascii="Times New Roman" w:eastAsia="Times New Roman" w:hAnsi="Times New Roman" w:cs="Times New Roman"/>
          <w:noProof/>
          <w:szCs w:val="24"/>
          <w:lang w:val="sq-AL"/>
        </w:rPr>
        <w:t>Raporti Vjetor i DPT 2018</w:t>
      </w:r>
      <w:r w:rsidRPr="00221487">
        <w:rPr>
          <w:rFonts w:ascii="Times New Roman" w:eastAsia="Times New Roman" w:hAnsi="Times New Roman" w:cs="Times New Roman"/>
          <w:noProof/>
          <w:szCs w:val="24"/>
          <w:vertAlign w:val="superscript"/>
          <w:lang w:val="sq-AL"/>
        </w:rPr>
        <w:footnoteReference w:id="2"/>
      </w:r>
      <w:r w:rsidRPr="00221487">
        <w:rPr>
          <w:rFonts w:ascii="Times New Roman" w:eastAsia="Times New Roman" w:hAnsi="Times New Roman" w:cs="Times New Roman"/>
          <w:noProof/>
          <w:szCs w:val="24"/>
          <w:lang w:val="sq-AL"/>
        </w:rPr>
        <w:t>.</w:t>
      </w:r>
    </w:p>
    <w:p w:rsidR="00221487" w:rsidRPr="00221487" w:rsidRDefault="00221487" w:rsidP="007C6F79">
      <w:pPr>
        <w:numPr>
          <w:ilvl w:val="0"/>
          <w:numId w:val="27"/>
        </w:numPr>
        <w:autoSpaceDE w:val="0"/>
        <w:autoSpaceDN w:val="0"/>
        <w:adjustRightInd w:val="0"/>
        <w:spacing w:after="0" w:line="240" w:lineRule="auto"/>
        <w:contextualSpacing/>
        <w:jc w:val="both"/>
        <w:rPr>
          <w:rFonts w:ascii="Times New Roman" w:eastAsia="Times New Roman" w:hAnsi="Times New Roman" w:cs="Times New Roman"/>
          <w:noProof/>
          <w:color w:val="000000"/>
          <w:lang w:val="sq-AL" w:eastAsia="en-GB"/>
        </w:rPr>
      </w:pPr>
      <w:r w:rsidRPr="00221487">
        <w:rPr>
          <w:rFonts w:ascii="Times New Roman" w:eastAsia="Times New Roman" w:hAnsi="Times New Roman" w:cs="Times New Roman"/>
          <w:noProof/>
          <w:color w:val="000000"/>
          <w:lang w:val="sq-AL" w:eastAsia="en-GB"/>
        </w:rPr>
        <w:t>Raporti Vjetor i Agjencisë së Prokurimit Publik 2018</w:t>
      </w:r>
      <w:r w:rsidRPr="00221487">
        <w:rPr>
          <w:rFonts w:ascii="Times New Roman" w:eastAsia="Times New Roman" w:hAnsi="Times New Roman" w:cs="Times New Roman"/>
          <w:noProof/>
          <w:color w:val="000000"/>
          <w:vertAlign w:val="superscript"/>
          <w:lang w:val="sq-AL" w:eastAsia="en-GB"/>
        </w:rPr>
        <w:footnoteReference w:id="3"/>
      </w:r>
      <w:r w:rsidRPr="00221487">
        <w:rPr>
          <w:rFonts w:ascii="Times New Roman" w:eastAsia="Times New Roman" w:hAnsi="Times New Roman" w:cs="Times New Roman"/>
          <w:noProof/>
          <w:color w:val="000000"/>
          <w:lang w:val="sq-AL" w:eastAsia="en-GB"/>
        </w:rPr>
        <w:t>.</w:t>
      </w:r>
    </w:p>
    <w:p w:rsidR="00221487" w:rsidRPr="00221487" w:rsidRDefault="00221487" w:rsidP="007C6F79">
      <w:pPr>
        <w:numPr>
          <w:ilvl w:val="0"/>
          <w:numId w:val="27"/>
        </w:numPr>
        <w:spacing w:after="0" w:line="240" w:lineRule="auto"/>
        <w:contextualSpacing/>
        <w:jc w:val="both"/>
        <w:rPr>
          <w:rFonts w:ascii="Times New Roman" w:eastAsia="Times New Roman" w:hAnsi="Times New Roman" w:cs="Times New Roman"/>
          <w:noProof/>
          <w:szCs w:val="24"/>
          <w:lang w:val="sq-AL"/>
        </w:rPr>
      </w:pPr>
      <w:r w:rsidRPr="00221487">
        <w:rPr>
          <w:rFonts w:ascii="Times New Roman" w:eastAsia="Times New Roman" w:hAnsi="Times New Roman" w:cs="Times New Roman"/>
          <w:noProof/>
          <w:szCs w:val="24"/>
          <w:lang w:val="sq-AL"/>
        </w:rPr>
        <w:t>Kontrolli i Brendshëm Financiar Publik Vjetor (KBFP) 2017</w:t>
      </w:r>
      <w:r w:rsidRPr="00221487">
        <w:rPr>
          <w:rFonts w:ascii="Times New Roman" w:eastAsia="Times New Roman" w:hAnsi="Times New Roman" w:cs="Times New Roman"/>
          <w:noProof/>
          <w:szCs w:val="24"/>
          <w:vertAlign w:val="superscript"/>
          <w:lang w:val="sq-AL"/>
        </w:rPr>
        <w:footnoteReference w:id="4"/>
      </w:r>
      <w:r w:rsidRPr="00221487">
        <w:rPr>
          <w:rFonts w:ascii="Times New Roman" w:eastAsia="Times New Roman" w:hAnsi="Times New Roman" w:cs="Times New Roman"/>
          <w:noProof/>
          <w:szCs w:val="24"/>
          <w:lang w:val="sq-AL"/>
        </w:rPr>
        <w:t>.</w:t>
      </w:r>
    </w:p>
    <w:p w:rsidR="00221487" w:rsidRPr="00221487" w:rsidRDefault="00221487" w:rsidP="007C6F79">
      <w:pPr>
        <w:numPr>
          <w:ilvl w:val="0"/>
          <w:numId w:val="27"/>
        </w:numPr>
        <w:spacing w:after="0" w:line="240" w:lineRule="auto"/>
        <w:contextualSpacing/>
        <w:jc w:val="both"/>
        <w:rPr>
          <w:rFonts w:ascii="Times New Roman" w:eastAsia="Times New Roman" w:hAnsi="Times New Roman" w:cs="Times New Roman"/>
          <w:noProof/>
          <w:szCs w:val="24"/>
          <w:lang w:val="sq-AL"/>
        </w:rPr>
      </w:pPr>
      <w:r w:rsidRPr="00221487">
        <w:rPr>
          <w:rFonts w:ascii="Times New Roman" w:eastAsia="Times New Roman" w:hAnsi="Times New Roman" w:cs="Times New Roman"/>
          <w:noProof/>
          <w:szCs w:val="24"/>
          <w:lang w:val="sq-AL"/>
        </w:rPr>
        <w:t>Raporti i Performancës i KLSH-së 2017</w:t>
      </w:r>
      <w:r w:rsidRPr="00221487">
        <w:rPr>
          <w:rFonts w:ascii="Times New Roman" w:eastAsia="Times New Roman" w:hAnsi="Times New Roman" w:cs="Times New Roman"/>
          <w:noProof/>
          <w:szCs w:val="24"/>
          <w:vertAlign w:val="superscript"/>
          <w:lang w:val="sq-AL"/>
        </w:rPr>
        <w:footnoteReference w:id="5"/>
      </w:r>
      <w:r w:rsidRPr="00221487">
        <w:rPr>
          <w:rFonts w:ascii="Times New Roman" w:eastAsia="Times New Roman" w:hAnsi="Times New Roman" w:cs="Times New Roman"/>
          <w:noProof/>
          <w:szCs w:val="24"/>
          <w:lang w:val="sq-AL"/>
        </w:rPr>
        <w:t>.</w:t>
      </w:r>
    </w:p>
    <w:p w:rsidR="00221487" w:rsidRPr="00221487" w:rsidRDefault="00221487" w:rsidP="007C6F79">
      <w:pPr>
        <w:numPr>
          <w:ilvl w:val="0"/>
          <w:numId w:val="27"/>
        </w:numPr>
        <w:spacing w:after="0" w:line="240" w:lineRule="auto"/>
        <w:contextualSpacing/>
        <w:jc w:val="both"/>
        <w:rPr>
          <w:rFonts w:ascii="Times New Roman" w:eastAsia="Times New Roman" w:hAnsi="Times New Roman" w:cs="Times New Roman"/>
          <w:noProof/>
          <w:szCs w:val="24"/>
          <w:lang w:val="sq-AL"/>
        </w:rPr>
      </w:pPr>
      <w:r w:rsidRPr="00221487">
        <w:rPr>
          <w:rFonts w:ascii="Times New Roman" w:eastAsia="Times New Roman" w:hAnsi="Times New Roman" w:cs="Times New Roman"/>
          <w:noProof/>
          <w:szCs w:val="24"/>
          <w:lang w:val="sq-AL"/>
        </w:rPr>
        <w:t>Buletini Përmbledhës nr. 4 për periudhën janar - dhjetor 2018</w:t>
      </w:r>
      <w:r w:rsidRPr="00221487">
        <w:rPr>
          <w:rFonts w:ascii="Times New Roman" w:eastAsia="Times New Roman" w:hAnsi="Times New Roman" w:cs="Times New Roman"/>
          <w:noProof/>
          <w:szCs w:val="24"/>
          <w:vertAlign w:val="superscript"/>
          <w:lang w:val="sq-AL"/>
        </w:rPr>
        <w:footnoteReference w:id="6"/>
      </w:r>
      <w:r w:rsidRPr="00221487">
        <w:rPr>
          <w:rFonts w:ascii="Times New Roman" w:eastAsia="Times New Roman" w:hAnsi="Times New Roman" w:cs="Times New Roman"/>
          <w:noProof/>
          <w:szCs w:val="24"/>
          <w:lang w:val="sq-AL"/>
        </w:rPr>
        <w:t>.</w:t>
      </w:r>
    </w:p>
    <w:p w:rsidR="00221487" w:rsidRPr="00221487" w:rsidRDefault="00221487" w:rsidP="007C6F79">
      <w:pPr>
        <w:numPr>
          <w:ilvl w:val="0"/>
          <w:numId w:val="27"/>
        </w:numPr>
        <w:spacing w:after="0" w:line="240" w:lineRule="auto"/>
        <w:contextualSpacing/>
        <w:jc w:val="both"/>
        <w:rPr>
          <w:rFonts w:ascii="Times New Roman" w:eastAsia="Times New Roman" w:hAnsi="Times New Roman" w:cs="Times New Roman"/>
          <w:noProof/>
          <w:szCs w:val="24"/>
          <w:lang w:val="sq-AL"/>
        </w:rPr>
      </w:pPr>
      <w:r w:rsidRPr="00221487">
        <w:rPr>
          <w:rFonts w:ascii="Times New Roman" w:eastAsia="Times New Roman" w:hAnsi="Times New Roman" w:cs="Times New Roman"/>
          <w:noProof/>
          <w:szCs w:val="24"/>
          <w:lang w:val="sq-AL"/>
        </w:rPr>
        <w:t>Raporti Vjetor i KLSH-së 2017</w:t>
      </w:r>
      <w:r w:rsidRPr="00221487">
        <w:rPr>
          <w:rFonts w:ascii="Times New Roman" w:eastAsia="Times New Roman" w:hAnsi="Times New Roman" w:cs="Times New Roman"/>
          <w:noProof/>
          <w:szCs w:val="24"/>
          <w:vertAlign w:val="superscript"/>
          <w:lang w:val="sq-AL"/>
        </w:rPr>
        <w:footnoteReference w:id="7"/>
      </w:r>
      <w:r w:rsidRPr="00221487">
        <w:rPr>
          <w:rFonts w:ascii="Times New Roman" w:eastAsia="Times New Roman" w:hAnsi="Times New Roman" w:cs="Times New Roman"/>
          <w:noProof/>
          <w:szCs w:val="24"/>
          <w:lang w:val="sq-AL"/>
        </w:rPr>
        <w:t>.</w:t>
      </w:r>
    </w:p>
    <w:p w:rsidR="00221487" w:rsidRPr="00221487" w:rsidRDefault="00221487" w:rsidP="00221487">
      <w:pPr>
        <w:spacing w:after="0" w:line="240" w:lineRule="auto"/>
        <w:jc w:val="both"/>
        <w:rPr>
          <w:rFonts w:ascii="Times New Roman" w:eastAsia="Times New Roman" w:hAnsi="Times New Roman" w:cs="Times New Roman"/>
          <w:noProof/>
          <w:highlight w:val="yellow"/>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lastRenderedPageBreak/>
        <w:t>Zbatimi i reformës së MFP kërkon një qasje gjithëpërfshirëse në të cilën koordinimi dhe bashkëpunimi janë elementë vendimtarë për progresin. Arritja e objektivave të reformës së MFP-së kushtëzohet nga sfidat e hasura gjatë vitit 2018, të tilla si:</w:t>
      </w:r>
    </w:p>
    <w:p w:rsidR="00221487" w:rsidRPr="00221487" w:rsidRDefault="00221487" w:rsidP="007C6F79">
      <w:pPr>
        <w:numPr>
          <w:ilvl w:val="0"/>
          <w:numId w:val="25"/>
        </w:numPr>
        <w:spacing w:after="0" w:line="240" w:lineRule="auto"/>
        <w:contextualSpacing/>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Kanë ndodhur shumë ndryshime legjislative për forcimin e Reformës MFP, por ndërkohë që kuadri ligjor dhe ai i punës janë të fortë, zbatimi ngelet një sfidë. Në nivel mase qasja tek burimet dhe zbatimi në kohë i ligjeve dhe rregulloreve kanë ndikim kyç në në progresin që mund të arrihet. Përtej zbatimit të ligjeve, njohuritë që kanë punonjësit që zbatojnë iniciativat janë shumë të rëndësishme për menaxhimin e efektshëm të ndryshimit. </w:t>
      </w:r>
    </w:p>
    <w:p w:rsidR="00221487" w:rsidRPr="00221487" w:rsidRDefault="00221487" w:rsidP="007C6F79">
      <w:pPr>
        <w:numPr>
          <w:ilvl w:val="0"/>
          <w:numId w:val="25"/>
        </w:numPr>
        <w:spacing w:after="0" w:line="240" w:lineRule="auto"/>
        <w:contextualSpacing/>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Integrimi i sistemit SIMFSH me sisteme të tjera (të APP, SMBNJ, Sistemi i Pagesave të Borxheve, PBA, i Doganave).</w:t>
      </w:r>
    </w:p>
    <w:p w:rsidR="00221487" w:rsidRPr="00221487" w:rsidRDefault="00221487" w:rsidP="007C6F79">
      <w:pPr>
        <w:numPr>
          <w:ilvl w:val="0"/>
          <w:numId w:val="25"/>
        </w:numPr>
        <w:spacing w:after="0" w:line="240" w:lineRule="auto"/>
        <w:contextualSpacing/>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Si rezultat i riorganizimit të MFE-së, është krijuar një numër i konsiderueshëm vendesh të paplotësuara. Megjithatë, këto vende të paplotësuara pune do të mbushen në bashkëpunim me DAP-in. </w:t>
      </w:r>
    </w:p>
    <w:p w:rsidR="00221487" w:rsidRPr="00221487" w:rsidRDefault="00221487" w:rsidP="00221487">
      <w:pPr>
        <w:spacing w:after="0" w:line="240" w:lineRule="auto"/>
        <w:ind w:left="720"/>
        <w:contextualSpacing/>
        <w:jc w:val="both"/>
        <w:rPr>
          <w:rFonts w:ascii="Times New Roman" w:eastAsia="Times New Roman" w:hAnsi="Times New Roman" w:cs="Times New Roman"/>
          <w:noProof/>
          <w:lang w:val="sq-AL"/>
        </w:rPr>
      </w:pPr>
    </w:p>
    <w:p w:rsidR="00221487" w:rsidRPr="00221487" w:rsidRDefault="00221487" w:rsidP="00221487">
      <w:pPr>
        <w:keepNext/>
        <w:numPr>
          <w:ilvl w:val="1"/>
          <w:numId w:val="0"/>
        </w:numPr>
        <w:spacing w:after="0" w:line="240" w:lineRule="auto"/>
        <w:ind w:left="420" w:hanging="420"/>
        <w:jc w:val="both"/>
        <w:outlineLvl w:val="1"/>
        <w:rPr>
          <w:rFonts w:ascii="Times New Roman" w:eastAsia="Times" w:hAnsi="Times New Roman" w:cs="Times New Roman"/>
          <w:b/>
          <w:bCs/>
          <w:noProof/>
          <w:lang w:val="sq-AL"/>
        </w:rPr>
      </w:pPr>
      <w:bookmarkStart w:id="16" w:name="_Toc511836596"/>
      <w:bookmarkStart w:id="17" w:name="_Toc3984449"/>
      <w:r w:rsidRPr="00221487">
        <w:rPr>
          <w:rFonts w:ascii="Times New Roman" w:eastAsia="Times" w:hAnsi="Times New Roman" w:cs="Times New Roman"/>
          <w:b/>
          <w:bCs/>
          <w:noProof/>
          <w:lang w:val="sq-AL"/>
        </w:rPr>
        <w:t>Vlerësimi afatmesëm</w:t>
      </w:r>
      <w:bookmarkEnd w:id="16"/>
      <w:bookmarkEnd w:id="17"/>
    </w:p>
    <w:p w:rsidR="00221487" w:rsidRPr="00221487" w:rsidRDefault="00221487" w:rsidP="00221487">
      <w:pPr>
        <w:spacing w:after="0" w:line="240" w:lineRule="auto"/>
        <w:jc w:val="both"/>
        <w:rPr>
          <w:rFonts w:ascii="Times New Roman" w:hAnsi="Times New Roman" w:cs="Times New Roman"/>
          <w:noProof/>
          <w:lang w:val="sq-AL"/>
        </w:rPr>
      </w:pPr>
    </w:p>
    <w:p w:rsidR="00221487" w:rsidRPr="00221487" w:rsidRDefault="00221487" w:rsidP="00221487">
      <w:pPr>
        <w:spacing w:after="0" w:line="240" w:lineRule="auto"/>
        <w:jc w:val="both"/>
        <w:rPr>
          <w:rFonts w:ascii="Times New Roman" w:hAnsi="Times New Roman" w:cs="Times New Roman"/>
          <w:noProof/>
          <w:lang w:val="sq-AL"/>
        </w:rPr>
      </w:pPr>
      <w:r w:rsidRPr="00221487">
        <w:rPr>
          <w:rFonts w:ascii="Times New Roman" w:hAnsi="Times New Roman" w:cs="Times New Roman"/>
          <w:noProof/>
          <w:lang w:val="sq-AL"/>
        </w:rPr>
        <w:t xml:space="preserve">Gjatë vitit 2018, MFE-ja, me mbështetjen e AT të MFP-së, ndërmorri Procesin e Vlerësimit Afatmesëm (VA) të Strategjisë MFP të Shqipërisë 2014-2020. Vlerësimi, i cili u bazua në qasjen e shqyrtimit me përfshirjen e të gjithë aktorëve kryesorë, mbuloi periudhën nga 2014-2018 dhe nxorri në pah arritjet dhe sfidat e zbatimit të strategjisë në lidhje me aktivitetet dhe objektivat e pritshme. </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hAnsi="Times New Roman" w:cs="Times New Roman"/>
          <w:noProof/>
          <w:lang w:val="sq-AL"/>
        </w:rPr>
        <w:t xml:space="preserve">Procesi i VA nisi: </w:t>
      </w:r>
      <w:r w:rsidRPr="00221487">
        <w:rPr>
          <w:rFonts w:ascii="Times New Roman" w:hAnsi="Times New Roman" w:cs="Times New Roman"/>
          <w:b/>
          <w:noProof/>
          <w:lang w:val="sq-AL"/>
        </w:rPr>
        <w:t xml:space="preserve">Gjatë fazës fillestare </w:t>
      </w:r>
      <w:r w:rsidRPr="00221487">
        <w:rPr>
          <w:rFonts w:ascii="Times New Roman" w:hAnsi="Times New Roman" w:cs="Times New Roman"/>
          <w:noProof/>
          <w:lang w:val="sq-AL"/>
        </w:rPr>
        <w:t>ishte ndërmarrë një kontroll</w:t>
      </w:r>
      <w:r w:rsidRPr="00221487">
        <w:rPr>
          <w:rFonts w:ascii="Times New Roman" w:eastAsia="Times New Roman" w:hAnsi="Times New Roman" w:cs="Times New Roman"/>
          <w:noProof/>
          <w:lang w:val="sq-AL"/>
        </w:rPr>
        <w:t xml:space="preserve"> dokumentesh i ecurisë dhe ishte hartuar një Projekt Raport Kontrolli nga Drejtoria e MFP (DR-MFP). Në 4 maj 2018 u bë prezantimi në qeveri i “Vlerësimit Afatmesëm (VA) të Strategjisë së Menaxhimit të Financave Publike 2014-2020”. VA i ishte komunikuar ndërkohë Komitetit Drejtues të MFP në datën 21 mars 2018. Qëllimi kryesor i seminarit praktik ishte prezantimi i metodologjisë së Vlerësimit Afatmesëm të Strategjisë MFP.</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b/>
          <w:noProof/>
          <w:lang w:val="sq-AL"/>
        </w:rPr>
        <w:t>Gjatë fazës së dytë</w:t>
      </w:r>
      <w:r w:rsidRPr="00221487">
        <w:rPr>
          <w:rFonts w:ascii="Times New Roman" w:eastAsia="Times New Roman" w:hAnsi="Times New Roman" w:cs="Times New Roman"/>
          <w:noProof/>
          <w:lang w:val="sq-AL"/>
        </w:rPr>
        <w:t xml:space="preserve">, në qershor 2018, projekt formati i projekt – kontrollit iu dërgua të gjitha njësive përgjegjëse që janë pjesë e Strategjisë MFP ku ata kontribuan duke përditësuar informacionin dhe pas shqyrtimit të kontributit të tyre nga DR-MFP, u organizuan takime teknike me secilin prej tyre. Gjatë takimeve teknike u prezantuan gjetjet dhe sfidat me të cilat përballeshin, si dhe u diskutua rreth gjendjes së veprimeve dhe ndryshimeve të ardhshme, fokusi kryesor ishte tek situata “Si është aktualisht” dhe “Si do të jetë”. DR-MFP shqyrtoi gjithë informacionin e diskutuar dhe kërkoi informacion të ri. </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b/>
          <w:noProof/>
          <w:lang w:val="sq-AL"/>
        </w:rPr>
        <w:t xml:space="preserve">Gjatë fazës së tretë, </w:t>
      </w:r>
      <w:r w:rsidRPr="00221487">
        <w:rPr>
          <w:rFonts w:ascii="Times New Roman" w:eastAsia="Times New Roman" w:hAnsi="Times New Roman" w:cs="Times New Roman"/>
          <w:noProof/>
          <w:lang w:val="sq-AL"/>
        </w:rPr>
        <w:t xml:space="preserve">gjaët periudhës shtator - tetor 2018, drejtoria e MFP organizoi takime të nivelit të lartë për secilën nga gjashtë shtyllat e strategjisë MFP. Në secilin takim morën pjesë të gjithë drejtuesit e komponentit për atë shtyllë, Sekretarja e Përgjithshme Znj. Gelardina Prodani, si dhe Zëvendës Ministri Z. Elton Haxhi dhe Zëvendës Ministri Z. Erjon Luci sipas fushës së tyre të përgjegjësisë. Në këtë fazë, u diskutua projekt raporti i VA/MTR, duke u përqendruar më shumë në përparësitë dhe çështjet kryesore që çdo njësi ka nën përgjegjësi. Gjithashtu, u diskutua se si ishin trajtuar rekomandimet e vlerësimit ndërkombëtar të raportit nga secila prej njësive përgjegjëse dhe rreth sqarimit të arsyeve për ndryshimin e Treguesit të Pasaportës. Meqenëse Strategjia e rishikuar e MFP do të ketë prioritete dhe objektiva të reja, u shtuan tregues të rinj me qëllim matjen e arritjes së treguesve. </w:t>
      </w: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Kontrolli evidentoi progresin, arritjet, mbështetjen e partnerëve për zhvillim (PZH) dhe shtrirjen e plotësisë. Koordinatorët e shtyllave dhe koordinatorët e komponentëve ishin palët kryesore të interesit që ofruan pikëpamjet e tyre mbi progresin dhe sfidat e deritanishme. Ata kanë siguruar inputet dhe pikëpamjet jetësore për Raportin e Kontrollit. Ata ndihmuan në identifikimin e zonave ku progresi ka qenë i pakënaqshëm, përfshirë produkte të humbura dhe vonesat, me arsyet e nën-arritjeve, si dhe në identifikimin e zonave të paqartësive, kur nuk ishte e qartë se çfarë përparimi është bërë për shkaqe të ndryshme. Për më tepër, ata kanë identifikuar përparësitë kryesore për periudhën 2018-2022. RA ishte e dobishme për të përcaktuar një plan veprimi më të saktë për periudhën 2018-2022 në lidhje me prioritetet e reformës, ato ekzistuese dhe ato të reja. Drejtuesit e lartë të MFE-së u takuan me TC përfshirë PC dhe CC për të diskutuar secilën nga gjashtë shtyllat e strategjisë PFM, duke u përqëndruar në prioritetet dhe çështjet kryesore dhe propozuan ndryshime të prioriteteve, objektivave si dhe Pasaportën e Treguesve. Këto mësime dhe prioritetet e rishikuara të propozuara përshkruhen </w:t>
      </w:r>
      <w:r w:rsidRPr="00221487">
        <w:rPr>
          <w:rFonts w:ascii="Times New Roman" w:eastAsia="Times New Roman" w:hAnsi="Times New Roman" w:cs="Times New Roman"/>
          <w:noProof/>
          <w:lang w:val="sq-AL"/>
        </w:rPr>
        <w:lastRenderedPageBreak/>
        <w:t xml:space="preserve">si: 1) Zbatimi i rregullit fiskal dhe parimeve fiskale; 2) Përfundimi dhe botimi i PRF; 3) Zbatimi i Sistemit të Informativ të Sistemit të Integruar të Planifikimit (SISIP) dhe integrimi me SIMF dhe SIMNH; 4) Zbatimi i plotë i procedurave të reja MIP; 5) Zbatimi i plotë i metodologjisë së re të PBA;  6) Forcimi i kornizës ligjore për një menaxhim më të mirë të PPP dhe Koncesioneve; 7) Planifikim dhe buxhetim i integruar dhe efikas në qeverisjen vendore; 8) Maksimizimi i të ardhurave; 9) Kadastër Fiskale e themeluar dhe funksionale; 10) Fillimi i përdorimit të modulit të Menaxhimit të Aseteve në SFQ; 11) Zbatimi i SISIP; 12) Transmetimi i tabelave të SFQ; 13) Përdorimi i kërkesave të MKF për të përmirësuar sistemet e kontrollit të brendshëm dhe për të arritur objektivat dhe rezultatet; 14) Forcimi i funksionit të Auditimit të Brendshëm (AB) në sektorin publik; 15) Përmirësimi i efikasitetit të inspektimit financiar publik; 16) Forcimi i funksionit të mbikëqyrjes së jashtme duke e sjellë atë në përputhje me standardet e INTOSAI-t; 17 Forcimi i mbikëqyrjes parlamentare dhe llogaridhënies për shpenzimet publike. </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b/>
          <w:noProof/>
          <w:lang w:val="sq-AL"/>
        </w:rPr>
        <w:t>Në fazën e katërt</w:t>
      </w:r>
      <w:r w:rsidRPr="00221487">
        <w:rPr>
          <w:rFonts w:ascii="Times New Roman" w:eastAsia="Times New Roman" w:hAnsi="Times New Roman" w:cs="Times New Roman"/>
          <w:noProof/>
          <w:lang w:val="sq-AL"/>
        </w:rPr>
        <w:t>, u organizua një turne dy-ditor i studimi nga kolegë në bashkëpunim me Departamentin e Financave të Irlandës gjatë 28 Shkurt-1 Mars. Qëllimi i studimit të jashtëm  të kolegëve ishte të eksploroheshin praktikat e mira në lidhje me prioritetet kryesore të reformës MFP për tëardhmen, brenda një konteksti të rigjallëruar, duke synuar rritjen e qartësisë dhe ritmit të reformës.</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b/>
          <w:noProof/>
          <w:lang w:val="sq-AL"/>
        </w:rPr>
        <w:t>Në fazën e pestë</w:t>
      </w:r>
      <w:r w:rsidRPr="00221487">
        <w:rPr>
          <w:rFonts w:ascii="Times New Roman" w:eastAsia="Times New Roman" w:hAnsi="Times New Roman" w:cs="Times New Roman"/>
          <w:noProof/>
          <w:lang w:val="sq-AL"/>
        </w:rPr>
        <w:t>, Strategjia dhe Plani i Veprimit i PFM 2019-2022 të rihartuara, së bashku me fushat që kërkojnë mbështetjen e PD, u prezantuan gjatë një seminari me shumë palë të interesuara të organizuar nga KD, ku nga TC ishin ftuar edhe PD-të dhe OSHC-të  për konsultim. Seminari  u organizua nga DR-MFP e mbështetur nga ekipi i AT dhe u zhvillua në 13 Mars 2019.</w:t>
      </w:r>
    </w:p>
    <w:p w:rsidR="00221487" w:rsidRPr="00221487" w:rsidRDefault="00221487" w:rsidP="00221487">
      <w:pPr>
        <w:spacing w:after="0" w:line="240" w:lineRule="auto"/>
        <w:jc w:val="both"/>
        <w:rPr>
          <w:rFonts w:ascii="Times New Roman" w:eastAsia="Times New Roman" w:hAnsi="Times New Roman" w:cs="Times New Roman"/>
          <w:noProof/>
          <w:highlight w:val="yellow"/>
          <w:lang w:val="sq-AL"/>
        </w:rPr>
      </w:pPr>
    </w:p>
    <w:p w:rsidR="00221487" w:rsidRPr="00221487" w:rsidRDefault="00221487" w:rsidP="00221487">
      <w:pPr>
        <w:keepNext/>
        <w:spacing w:after="0" w:line="240" w:lineRule="auto"/>
        <w:ind w:left="720"/>
        <w:jc w:val="both"/>
        <w:outlineLvl w:val="0"/>
        <w:rPr>
          <w:rFonts w:ascii="Times New Roman Bold" w:eastAsia="Times" w:hAnsi="Times New Roman Bold" w:cs="Times New Roman"/>
          <w:b/>
          <w:bCs/>
          <w:noProof/>
          <w:color w:val="632423" w:themeColor="accent2" w:themeShade="80"/>
          <w:lang w:val="sq-AL"/>
        </w:rPr>
      </w:pPr>
      <w:bookmarkStart w:id="18" w:name="_Toc3984450"/>
      <w:r w:rsidRPr="00221487">
        <w:rPr>
          <w:rFonts w:ascii="Times New Roman Bold" w:eastAsia="Times" w:hAnsi="Times New Roman Bold" w:cs="Times New Roman"/>
          <w:b/>
          <w:bCs/>
          <w:noProof/>
          <w:color w:val="632423" w:themeColor="accent2" w:themeShade="80"/>
          <w:lang w:val="sq-AL"/>
        </w:rPr>
        <w:t>2.</w:t>
      </w:r>
      <w:r w:rsidRPr="00221487">
        <w:rPr>
          <w:rFonts w:ascii="Arial" w:eastAsia="Arial" w:hAnsi="Arial" w:cs="Arial"/>
          <w:b/>
          <w:bCs/>
          <w:noProof/>
          <w:color w:val="632423" w:themeColor="accent2" w:themeShade="80"/>
          <w:lang w:val="sq-AL"/>
        </w:rPr>
        <w:t xml:space="preserve"> </w:t>
      </w:r>
      <w:r w:rsidRPr="00221487">
        <w:rPr>
          <w:rFonts w:ascii="Times New Roman Bold" w:eastAsia="Times" w:hAnsi="Times New Roman Bold" w:cs="Times New Roman"/>
          <w:b/>
          <w:bCs/>
          <w:noProof/>
          <w:color w:val="632423" w:themeColor="accent2" w:themeShade="80"/>
          <w:lang w:val="sq-AL"/>
        </w:rPr>
        <w:t>MBËSHTETJA E DONATORËVE PËR SEKTORIN MFP</w:t>
      </w:r>
      <w:bookmarkEnd w:id="18"/>
      <w:r w:rsidRPr="00221487">
        <w:rPr>
          <w:rFonts w:ascii="Times New Roman Bold" w:eastAsia="Times" w:hAnsi="Times New Roman Bold" w:cs="Times New Roman"/>
          <w:b/>
          <w:bCs/>
          <w:noProof/>
          <w:color w:val="632423" w:themeColor="accent2" w:themeShade="80"/>
          <w:lang w:val="sq-AL"/>
        </w:rPr>
        <w:t xml:space="preserve"> </w:t>
      </w:r>
    </w:p>
    <w:p w:rsidR="00221487" w:rsidRPr="00221487" w:rsidRDefault="00221487" w:rsidP="00221487">
      <w:pPr>
        <w:spacing w:after="3" w:line="240" w:lineRule="auto"/>
        <w:ind w:left="1"/>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 </w:t>
      </w:r>
    </w:p>
    <w:p w:rsidR="00221487" w:rsidRPr="00221487" w:rsidRDefault="00221487" w:rsidP="00221487">
      <w:pPr>
        <w:keepNext/>
        <w:spacing w:after="0" w:line="240" w:lineRule="auto"/>
        <w:ind w:left="372"/>
        <w:jc w:val="both"/>
        <w:outlineLvl w:val="1"/>
        <w:rPr>
          <w:rFonts w:ascii="Times New Roman" w:eastAsia="Times" w:hAnsi="Times New Roman" w:cs="Times New Roman"/>
          <w:b/>
          <w:bCs/>
          <w:noProof/>
          <w:lang w:val="sq-AL"/>
        </w:rPr>
      </w:pPr>
      <w:bookmarkStart w:id="19" w:name="_Toc3984451"/>
      <w:r w:rsidRPr="00221487">
        <w:rPr>
          <w:rFonts w:ascii="Times New Roman" w:eastAsia="Times" w:hAnsi="Times New Roman" w:cs="Times New Roman"/>
          <w:b/>
          <w:bCs/>
          <w:noProof/>
          <w:lang w:val="sq-AL"/>
        </w:rPr>
        <w:t>2.1.</w:t>
      </w:r>
      <w:r w:rsidRPr="00221487">
        <w:rPr>
          <w:rFonts w:ascii="Arial" w:eastAsia="Arial" w:hAnsi="Arial" w:cs="Arial"/>
          <w:b/>
          <w:bCs/>
          <w:noProof/>
          <w:lang w:val="sq-AL"/>
        </w:rPr>
        <w:t xml:space="preserve"> </w:t>
      </w:r>
      <w:r w:rsidRPr="00221487">
        <w:rPr>
          <w:rFonts w:ascii="Times New Roman" w:eastAsia="Times" w:hAnsi="Times New Roman" w:cs="Times New Roman"/>
          <w:b/>
          <w:bCs/>
          <w:noProof/>
          <w:lang w:val="sq-AL"/>
        </w:rPr>
        <w:t>Financimi nga donatorët</w:t>
      </w:r>
      <w:bookmarkEnd w:id="19"/>
      <w:r w:rsidRPr="00221487">
        <w:rPr>
          <w:rFonts w:ascii="Times New Roman" w:eastAsia="Times" w:hAnsi="Times New Roman" w:cs="Times New Roman"/>
          <w:b/>
          <w:bCs/>
          <w:noProof/>
          <w:lang w:val="sq-AL"/>
        </w:rPr>
        <w:t xml:space="preserve"> </w:t>
      </w:r>
    </w:p>
    <w:p w:rsidR="00221487" w:rsidRPr="00221487" w:rsidRDefault="00221487" w:rsidP="00221487">
      <w:pPr>
        <w:spacing w:after="0" w:line="240" w:lineRule="auto"/>
        <w:ind w:left="1"/>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 </w:t>
      </w:r>
    </w:p>
    <w:p w:rsidR="00221487" w:rsidRPr="00221487" w:rsidRDefault="00221487" w:rsidP="00221487">
      <w:pPr>
        <w:spacing w:after="0"/>
        <w:jc w:val="both"/>
        <w:rPr>
          <w:rFonts w:ascii="Times New Roman" w:eastAsia="Times New Roman" w:hAnsi="Times New Roman" w:cs="Times New Roman"/>
          <w:noProof/>
          <w:color w:val="000000" w:themeColor="text1"/>
          <w:szCs w:val="24"/>
          <w:lang w:val="sq-AL"/>
        </w:rPr>
      </w:pPr>
      <w:r w:rsidRPr="00221487">
        <w:rPr>
          <w:rFonts w:ascii="Times New Roman" w:eastAsia="Times New Roman" w:hAnsi="Times New Roman" w:cs="Times New Roman"/>
          <w:noProof/>
          <w:color w:val="000000" w:themeColor="text1"/>
          <w:szCs w:val="24"/>
          <w:lang w:val="sq-AL"/>
        </w:rPr>
        <w:t>Financat Publike janë pjesë e Strategjisë Kombëtare për Zhvillim dhe Integrim (SKZHI-II) 2015-2020, Shtylla "</w:t>
      </w:r>
      <w:r w:rsidRPr="00221487">
        <w:rPr>
          <w:rFonts w:ascii="Times New Roman" w:eastAsia="Times New Roman" w:hAnsi="Times New Roman" w:cs="Times New Roman"/>
          <w:i/>
          <w:noProof/>
          <w:color w:val="000000" w:themeColor="text1"/>
          <w:szCs w:val="24"/>
          <w:lang w:val="sq-AL"/>
        </w:rPr>
        <w:t>Rritja përmes stabilitetit makro ekonomik dhe fiskal</w:t>
      </w:r>
      <w:r w:rsidRPr="00221487">
        <w:rPr>
          <w:rFonts w:ascii="Times New Roman" w:eastAsia="Times New Roman" w:hAnsi="Times New Roman" w:cs="Times New Roman"/>
          <w:noProof/>
          <w:color w:val="000000" w:themeColor="text1"/>
          <w:szCs w:val="24"/>
          <w:lang w:val="sq-AL"/>
        </w:rPr>
        <w:t>". Sektori është i dominuar nga kreditë e dhëna nga Banka Botërore. Donatorë të tjerë në këtë sektor përfshijnë: BE-në, Suedinë, Zvicrën dhe USAID-in, të cilat ofrojnë ndihmën e tyre përmes granteve, si dhe Fondin Monetar Ndërkombëtar (FMN). Në vitin 2018 kanë qenë duke u zbatuar 15 projekte me mbështetje nga donatorët (Shih aneksin 4). Angazhimet për projektet e reja për çdo vit janë treguar më poshtë: për vitin 2018 janë caktuar 8.104 milion euro për projekte të reja.</w:t>
      </w:r>
    </w:p>
    <w:p w:rsidR="00221487" w:rsidRPr="00221487" w:rsidRDefault="00221487" w:rsidP="00221487">
      <w:pPr>
        <w:spacing w:after="0"/>
        <w:jc w:val="both"/>
        <w:rPr>
          <w:rFonts w:ascii="Times New Roman" w:eastAsia="Times New Roman" w:hAnsi="Times New Roman" w:cs="Times New Roman"/>
          <w:noProof/>
          <w:szCs w:val="24"/>
          <w:lang w:val="sq-AL"/>
        </w:rPr>
      </w:pPr>
    </w:p>
    <w:tbl>
      <w:tblPr>
        <w:tblStyle w:val="GridTable4-Accent12"/>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3"/>
        <w:gridCol w:w="1157"/>
        <w:gridCol w:w="1218"/>
        <w:gridCol w:w="1218"/>
        <w:gridCol w:w="1206"/>
      </w:tblGrid>
      <w:tr w:rsidR="00221487" w:rsidRPr="00221487" w:rsidTr="004342D7">
        <w:trPr>
          <w:cnfStyle w:val="100000000000" w:firstRow="1" w:lastRow="0" w:firstColumn="0" w:lastColumn="0" w:oddVBand="0" w:evenVBand="0" w:oddHBand="0" w:evenHBand="0" w:firstRowFirstColumn="0" w:firstRowLastColumn="0" w:lastRowFirstColumn="0" w:lastRowLastColumn="0"/>
          <w:trHeight w:val="379"/>
          <w:jc w:val="center"/>
        </w:trPr>
        <w:tc>
          <w:tcPr>
            <w:cnfStyle w:val="001000000000" w:firstRow="0" w:lastRow="0" w:firstColumn="1" w:lastColumn="0" w:oddVBand="0" w:evenVBand="0" w:oddHBand="0" w:evenHBand="0" w:firstRowFirstColumn="0" w:firstRowLastColumn="0" w:lastRowFirstColumn="0" w:lastRowLastColumn="0"/>
            <w:tcW w:w="1330" w:type="dxa"/>
            <w:tcBorders>
              <w:top w:val="none" w:sz="0" w:space="0" w:color="auto"/>
              <w:left w:val="none" w:sz="0" w:space="0" w:color="auto"/>
              <w:bottom w:val="none" w:sz="0" w:space="0" w:color="auto"/>
              <w:right w:val="none" w:sz="0" w:space="0" w:color="auto"/>
            </w:tcBorders>
          </w:tcPr>
          <w:p w:rsidR="00221487" w:rsidRPr="00221487" w:rsidRDefault="00221487" w:rsidP="00221487">
            <w:pPr>
              <w:jc w:val="both"/>
              <w:rPr>
                <w:noProof/>
                <w:szCs w:val="24"/>
                <w:lang w:val="sq-AL"/>
              </w:rPr>
            </w:pPr>
            <w:r w:rsidRPr="00221487">
              <w:rPr>
                <w:noProof/>
                <w:szCs w:val="24"/>
                <w:lang w:val="sq-AL"/>
              </w:rPr>
              <w:t>2014</w:t>
            </w:r>
          </w:p>
        </w:tc>
        <w:tc>
          <w:tcPr>
            <w:tcW w:w="1157" w:type="dxa"/>
            <w:tcBorders>
              <w:top w:val="none" w:sz="0" w:space="0" w:color="auto"/>
              <w:left w:val="none" w:sz="0" w:space="0" w:color="auto"/>
              <w:bottom w:val="none" w:sz="0" w:space="0" w:color="auto"/>
              <w:right w:val="none" w:sz="0" w:space="0" w:color="auto"/>
            </w:tcBorders>
          </w:tcPr>
          <w:p w:rsidR="00221487" w:rsidRPr="00221487" w:rsidRDefault="00221487" w:rsidP="00221487">
            <w:pPr>
              <w:jc w:val="both"/>
              <w:cnfStyle w:val="100000000000" w:firstRow="1" w:lastRow="0" w:firstColumn="0" w:lastColumn="0" w:oddVBand="0" w:evenVBand="0" w:oddHBand="0" w:evenHBand="0" w:firstRowFirstColumn="0" w:firstRowLastColumn="0" w:lastRowFirstColumn="0" w:lastRowLastColumn="0"/>
              <w:rPr>
                <w:noProof/>
                <w:szCs w:val="24"/>
                <w:lang w:val="sq-AL"/>
              </w:rPr>
            </w:pPr>
            <w:r w:rsidRPr="00221487">
              <w:rPr>
                <w:noProof/>
                <w:szCs w:val="24"/>
                <w:lang w:val="sq-AL"/>
              </w:rPr>
              <w:t>2015</w:t>
            </w:r>
          </w:p>
        </w:tc>
        <w:tc>
          <w:tcPr>
            <w:tcW w:w="1218" w:type="dxa"/>
            <w:tcBorders>
              <w:top w:val="none" w:sz="0" w:space="0" w:color="auto"/>
              <w:left w:val="none" w:sz="0" w:space="0" w:color="auto"/>
              <w:bottom w:val="none" w:sz="0" w:space="0" w:color="auto"/>
              <w:right w:val="none" w:sz="0" w:space="0" w:color="auto"/>
            </w:tcBorders>
          </w:tcPr>
          <w:p w:rsidR="00221487" w:rsidRPr="00221487" w:rsidRDefault="00221487" w:rsidP="00221487">
            <w:pPr>
              <w:jc w:val="both"/>
              <w:cnfStyle w:val="100000000000" w:firstRow="1" w:lastRow="0" w:firstColumn="0" w:lastColumn="0" w:oddVBand="0" w:evenVBand="0" w:oddHBand="0" w:evenHBand="0" w:firstRowFirstColumn="0" w:firstRowLastColumn="0" w:lastRowFirstColumn="0" w:lastRowLastColumn="0"/>
              <w:rPr>
                <w:noProof/>
                <w:szCs w:val="24"/>
                <w:lang w:val="sq-AL"/>
              </w:rPr>
            </w:pPr>
            <w:r w:rsidRPr="00221487">
              <w:rPr>
                <w:noProof/>
                <w:szCs w:val="24"/>
                <w:lang w:val="sq-AL"/>
              </w:rPr>
              <w:t>2016</w:t>
            </w:r>
          </w:p>
        </w:tc>
        <w:tc>
          <w:tcPr>
            <w:tcW w:w="1218" w:type="dxa"/>
            <w:tcBorders>
              <w:top w:val="none" w:sz="0" w:space="0" w:color="auto"/>
              <w:left w:val="none" w:sz="0" w:space="0" w:color="auto"/>
              <w:bottom w:val="none" w:sz="0" w:space="0" w:color="auto"/>
              <w:right w:val="none" w:sz="0" w:space="0" w:color="auto"/>
            </w:tcBorders>
          </w:tcPr>
          <w:p w:rsidR="00221487" w:rsidRPr="00221487" w:rsidRDefault="00221487" w:rsidP="00221487">
            <w:pPr>
              <w:jc w:val="both"/>
              <w:cnfStyle w:val="100000000000" w:firstRow="1" w:lastRow="0" w:firstColumn="0" w:lastColumn="0" w:oddVBand="0" w:evenVBand="0" w:oddHBand="0" w:evenHBand="0" w:firstRowFirstColumn="0" w:firstRowLastColumn="0" w:lastRowFirstColumn="0" w:lastRowLastColumn="0"/>
              <w:rPr>
                <w:noProof/>
                <w:szCs w:val="24"/>
                <w:lang w:val="sq-AL"/>
              </w:rPr>
            </w:pPr>
            <w:r w:rsidRPr="00221487">
              <w:rPr>
                <w:noProof/>
                <w:szCs w:val="24"/>
                <w:lang w:val="sq-AL"/>
              </w:rPr>
              <w:t>2017</w:t>
            </w:r>
          </w:p>
        </w:tc>
        <w:tc>
          <w:tcPr>
            <w:tcW w:w="1206" w:type="dxa"/>
            <w:tcBorders>
              <w:top w:val="none" w:sz="0" w:space="0" w:color="auto"/>
              <w:left w:val="none" w:sz="0" w:space="0" w:color="auto"/>
              <w:bottom w:val="none" w:sz="0" w:space="0" w:color="auto"/>
              <w:right w:val="none" w:sz="0" w:space="0" w:color="auto"/>
            </w:tcBorders>
          </w:tcPr>
          <w:p w:rsidR="00221487" w:rsidRPr="00221487" w:rsidRDefault="00221487" w:rsidP="00221487">
            <w:pPr>
              <w:jc w:val="both"/>
              <w:cnfStyle w:val="100000000000" w:firstRow="1" w:lastRow="0" w:firstColumn="0" w:lastColumn="0" w:oddVBand="0" w:evenVBand="0" w:oddHBand="0" w:evenHBand="0" w:firstRowFirstColumn="0" w:firstRowLastColumn="0" w:lastRowFirstColumn="0" w:lastRowLastColumn="0"/>
              <w:rPr>
                <w:noProof/>
                <w:szCs w:val="24"/>
                <w:lang w:val="sq-AL"/>
              </w:rPr>
            </w:pPr>
            <w:r w:rsidRPr="00221487">
              <w:rPr>
                <w:noProof/>
                <w:szCs w:val="24"/>
                <w:lang w:val="sq-AL"/>
              </w:rPr>
              <w:t>2018</w:t>
            </w:r>
          </w:p>
        </w:tc>
      </w:tr>
      <w:tr w:rsidR="00221487" w:rsidRPr="00221487" w:rsidTr="004342D7">
        <w:trPr>
          <w:cnfStyle w:val="000000100000" w:firstRow="0" w:lastRow="0" w:firstColumn="0" w:lastColumn="0" w:oddVBand="0" w:evenVBand="0" w:oddHBand="1" w:evenHBand="0" w:firstRowFirstColumn="0" w:firstRowLastColumn="0" w:lastRowFirstColumn="0" w:lastRowLastColumn="0"/>
          <w:trHeight w:val="406"/>
          <w:jc w:val="center"/>
        </w:trPr>
        <w:tc>
          <w:tcPr>
            <w:cnfStyle w:val="001000000000" w:firstRow="0" w:lastRow="0" w:firstColumn="1" w:lastColumn="0" w:oddVBand="0" w:evenVBand="0" w:oddHBand="0" w:evenHBand="0" w:firstRowFirstColumn="0" w:firstRowLastColumn="0" w:lastRowFirstColumn="0" w:lastRowLastColumn="0"/>
            <w:tcW w:w="1330" w:type="dxa"/>
          </w:tcPr>
          <w:p w:rsidR="00221487" w:rsidRPr="00221487" w:rsidRDefault="00221487" w:rsidP="00221487">
            <w:pPr>
              <w:jc w:val="both"/>
              <w:rPr>
                <w:noProof/>
                <w:szCs w:val="24"/>
                <w:lang w:val="sq-AL"/>
              </w:rPr>
            </w:pPr>
            <w:r w:rsidRPr="00221487">
              <w:rPr>
                <w:noProof/>
                <w:szCs w:val="24"/>
                <w:lang w:val="sq-AL"/>
              </w:rPr>
              <w:t>583,683,590</w:t>
            </w:r>
          </w:p>
        </w:tc>
        <w:tc>
          <w:tcPr>
            <w:tcW w:w="1157" w:type="dxa"/>
          </w:tcPr>
          <w:p w:rsidR="00221487" w:rsidRPr="00221487" w:rsidRDefault="00221487" w:rsidP="00221487">
            <w:pPr>
              <w:jc w:val="both"/>
              <w:cnfStyle w:val="000000100000" w:firstRow="0" w:lastRow="0" w:firstColumn="0" w:lastColumn="0" w:oddVBand="0" w:evenVBand="0" w:oddHBand="1" w:evenHBand="0" w:firstRowFirstColumn="0" w:firstRowLastColumn="0" w:lastRowFirstColumn="0" w:lastRowLastColumn="0"/>
              <w:rPr>
                <w:noProof/>
                <w:szCs w:val="24"/>
                <w:lang w:val="sq-AL"/>
              </w:rPr>
            </w:pPr>
            <w:r w:rsidRPr="00221487">
              <w:rPr>
                <w:noProof/>
                <w:szCs w:val="24"/>
                <w:lang w:val="sq-AL"/>
              </w:rPr>
              <w:t>8,843,326</w:t>
            </w:r>
          </w:p>
        </w:tc>
        <w:tc>
          <w:tcPr>
            <w:tcW w:w="1218" w:type="dxa"/>
          </w:tcPr>
          <w:p w:rsidR="00221487" w:rsidRPr="00221487" w:rsidRDefault="00221487" w:rsidP="00221487">
            <w:pPr>
              <w:jc w:val="both"/>
              <w:cnfStyle w:val="000000100000" w:firstRow="0" w:lastRow="0" w:firstColumn="0" w:lastColumn="0" w:oddVBand="0" w:evenVBand="0" w:oddHBand="1" w:evenHBand="0" w:firstRowFirstColumn="0" w:firstRowLastColumn="0" w:lastRowFirstColumn="0" w:lastRowLastColumn="0"/>
              <w:rPr>
                <w:noProof/>
                <w:szCs w:val="24"/>
                <w:lang w:val="sq-AL"/>
              </w:rPr>
            </w:pPr>
            <w:r w:rsidRPr="00221487">
              <w:rPr>
                <w:noProof/>
                <w:szCs w:val="24"/>
                <w:lang w:val="sq-AL"/>
              </w:rPr>
              <w:t>52,904,762</w:t>
            </w:r>
          </w:p>
        </w:tc>
        <w:tc>
          <w:tcPr>
            <w:tcW w:w="1218" w:type="dxa"/>
          </w:tcPr>
          <w:p w:rsidR="00221487" w:rsidRPr="00221487" w:rsidRDefault="00221487" w:rsidP="00221487">
            <w:pPr>
              <w:jc w:val="both"/>
              <w:cnfStyle w:val="000000100000" w:firstRow="0" w:lastRow="0" w:firstColumn="0" w:lastColumn="0" w:oddVBand="0" w:evenVBand="0" w:oddHBand="1" w:evenHBand="0" w:firstRowFirstColumn="0" w:firstRowLastColumn="0" w:lastRowFirstColumn="0" w:lastRowLastColumn="0"/>
              <w:rPr>
                <w:noProof/>
                <w:szCs w:val="24"/>
                <w:lang w:val="sq-AL"/>
              </w:rPr>
            </w:pPr>
            <w:r w:rsidRPr="00221487">
              <w:rPr>
                <w:noProof/>
                <w:szCs w:val="24"/>
                <w:lang w:val="sq-AL"/>
              </w:rPr>
              <w:t>88,151,676</w:t>
            </w:r>
          </w:p>
        </w:tc>
        <w:tc>
          <w:tcPr>
            <w:tcW w:w="1206" w:type="dxa"/>
          </w:tcPr>
          <w:p w:rsidR="00221487" w:rsidRPr="00221487" w:rsidRDefault="00221487" w:rsidP="00221487">
            <w:pPr>
              <w:jc w:val="both"/>
              <w:cnfStyle w:val="000000100000" w:firstRow="0" w:lastRow="0" w:firstColumn="0" w:lastColumn="0" w:oddVBand="0" w:evenVBand="0" w:oddHBand="1" w:evenHBand="0" w:firstRowFirstColumn="0" w:firstRowLastColumn="0" w:lastRowFirstColumn="0" w:lastRowLastColumn="0"/>
              <w:rPr>
                <w:noProof/>
                <w:szCs w:val="24"/>
                <w:lang w:val="sq-AL"/>
              </w:rPr>
            </w:pPr>
            <w:r w:rsidRPr="00221487">
              <w:rPr>
                <w:noProof/>
                <w:szCs w:val="24"/>
                <w:lang w:val="sq-AL"/>
              </w:rPr>
              <w:t>8,104,300</w:t>
            </w:r>
          </w:p>
        </w:tc>
      </w:tr>
    </w:tbl>
    <w:p w:rsidR="00221487" w:rsidRPr="00221487" w:rsidRDefault="00221487" w:rsidP="00221487">
      <w:pPr>
        <w:spacing w:after="0" w:line="240" w:lineRule="auto"/>
        <w:jc w:val="both"/>
        <w:rPr>
          <w:rFonts w:ascii="Times New Roman" w:eastAsia="Times New Roman" w:hAnsi="Times New Roman" w:cs="Times New Roman"/>
          <w:noProof/>
          <w:color w:val="000000" w:themeColor="text1"/>
          <w:szCs w:val="24"/>
          <w:lang w:val="sq-AL"/>
        </w:rPr>
      </w:pPr>
      <w:r w:rsidRPr="00221487">
        <w:rPr>
          <w:rFonts w:ascii="Times New Roman" w:eastAsia="Times New Roman" w:hAnsi="Times New Roman" w:cs="Times New Roman"/>
          <w:b/>
          <w:noProof/>
          <w:color w:val="000000" w:themeColor="text1"/>
          <w:szCs w:val="24"/>
          <w:lang w:val="sq-AL"/>
        </w:rPr>
        <w:t xml:space="preserve">BE, </w:t>
      </w:r>
      <w:r w:rsidRPr="00221487">
        <w:rPr>
          <w:rFonts w:ascii="Times New Roman" w:eastAsia="Times New Roman" w:hAnsi="Times New Roman" w:cs="Times New Roman"/>
          <w:noProof/>
          <w:color w:val="000000" w:themeColor="text1"/>
          <w:szCs w:val="24"/>
          <w:lang w:val="sq-AL"/>
        </w:rPr>
        <w:t xml:space="preserve">nëpërmjet Instrumentit të Ndihmës së Para-Aderimit II (IPA II) 2014-2020, vazhdoi të ofrojë asistencë financiare për Shqipërinë, shumica e të cilës u dha nëpërmjet mbështetjes buxhetore sektoriale për Menaxhimin e Financave Publike (42 milionë euro). Komponenti i Asistencës Teknike të MFP-së nisi në prill 2017, duke synuar forcimin e kapacitetit të palëve të interesuara për të zbatuar strategjinë e MFP-së, duke siguruar bashkërendim dhe menaxhim më të mirë të procesit të reformës, transparencës dhe proceseve të llogaridhënies nëpërmjet dialogut të zgjeruar dhe disponueshmërisë së informacionit nëpërmjet Parlamentit. Projektet e BE-së për modernizimin e Doganave të financuara nga IPA I vijuan të kontribuojnë në zbatimin e Sistemit të ri të Transmetimit të Kompjuterizuar dhe Sistemit të Integruar të Menaxhimit të Tarifave në Administratën Doganore të Shqipërisë. Janë siguruar dhe një numër i madh pajisjesh, përfshirë pajisje për laboratorin doganor, sistem digjital vëzhgimi si dhe automjete të specializuara. Përveç kësaj, BE-ja ka mbështetur një iniciativë dy-vjeçare që ka për qëllim forcimin e sistemit shqiptar të auditimit, përfshirë përmirësimin e kuadrit ligjor të auditimit dhe forcimim e kapaciteteve institucionale të KLSH-së e përmirësimin e ndikimit të rezultateve të auditimit të KLSH-së. </w:t>
      </w:r>
    </w:p>
    <w:p w:rsidR="00221487" w:rsidRPr="00221487" w:rsidRDefault="00221487" w:rsidP="00221487">
      <w:pPr>
        <w:autoSpaceDE w:val="0"/>
        <w:autoSpaceDN w:val="0"/>
        <w:adjustRightInd w:val="0"/>
        <w:spacing w:after="0"/>
        <w:jc w:val="both"/>
        <w:rPr>
          <w:rFonts w:ascii="Times New Roman" w:eastAsia="Times New Roman" w:hAnsi="Times New Roman" w:cs="Times New Roman"/>
          <w:noProof/>
          <w:color w:val="000000" w:themeColor="text1"/>
          <w:szCs w:val="24"/>
          <w:lang w:val="sq-AL"/>
        </w:rPr>
      </w:pPr>
    </w:p>
    <w:p w:rsidR="00221487" w:rsidRPr="00221487" w:rsidRDefault="00221487" w:rsidP="00221487">
      <w:pPr>
        <w:autoSpaceDE w:val="0"/>
        <w:autoSpaceDN w:val="0"/>
        <w:adjustRightInd w:val="0"/>
        <w:spacing w:after="0"/>
        <w:jc w:val="both"/>
        <w:rPr>
          <w:rFonts w:ascii="Times New Roman" w:eastAsia="Times New Roman" w:hAnsi="Times New Roman" w:cs="Times New Roman"/>
          <w:noProof/>
          <w:color w:val="000000" w:themeColor="text1"/>
          <w:szCs w:val="24"/>
          <w:lang w:val="sq-AL"/>
        </w:rPr>
      </w:pPr>
      <w:r w:rsidRPr="00221487">
        <w:rPr>
          <w:rFonts w:ascii="Times New Roman" w:eastAsia="Times New Roman" w:hAnsi="Times New Roman" w:cs="Times New Roman"/>
          <w:b/>
          <w:noProof/>
          <w:color w:val="000000" w:themeColor="text1"/>
          <w:szCs w:val="24"/>
          <w:lang w:val="sq-AL"/>
        </w:rPr>
        <w:t xml:space="preserve">Banka Botërore </w:t>
      </w:r>
      <w:r w:rsidRPr="00221487">
        <w:rPr>
          <w:rFonts w:ascii="Times New Roman" w:eastAsia="Times New Roman" w:hAnsi="Times New Roman" w:cs="Times New Roman"/>
          <w:noProof/>
          <w:color w:val="000000" w:themeColor="text1"/>
          <w:szCs w:val="24"/>
          <w:lang w:val="sq-AL"/>
        </w:rPr>
        <w:t xml:space="preserve">ka ofruar mbështetje thelbësore për Shqipërinë gjatë viteve të fundit, nëpërmjet disa operacioneve për zhvillimin e politikave. Nëpërmjet Kuadrit të Partneritetit të Vendit për Shqipërinë 2015-2019, </w:t>
      </w:r>
      <w:r w:rsidRPr="00221487">
        <w:rPr>
          <w:rFonts w:ascii="Times New Roman" w:eastAsia="Times New Roman" w:hAnsi="Times New Roman" w:cs="Times New Roman"/>
          <w:noProof/>
          <w:color w:val="000000" w:themeColor="text1"/>
          <w:szCs w:val="24"/>
          <w:lang w:val="sq-AL"/>
        </w:rPr>
        <w:lastRenderedPageBreak/>
        <w:t xml:space="preserve">BB i ka kushtuar një paketë kredie prej 1.2 miliardë dollarësh. Projekti i Kredisë për Zhvillim Politikash (KZHP) në Sektorin Financiar për Shqipërinë synon të mbështesë përpjekjet e Shqipërisë për përmirësimin e qendrueshmërisë fiskale, forcimin e menaxhimit të investimit publik si dhe përmirësimin e stabilitetit financiar. Objektivi i këtij operacioni është rritja e konkurueshmërisë së Shqipërisë nëpërmjet përmirësimit të regjimit të investimeve, lehtësimit të tregtisë si dhe përmirësimin e kushteve për të bërë biznes, forcimin e elasticitetit të sektorit bankar dhe rregullimin dhe mbikqyrjen e institucioneve financiare jobankare. KZHP-ja është e strukturuar rreth tre Shtyllave: (a) miratimi i masave të politikave për të reduktuar kreditë joperformuese dhe për të rritur rrjetin e sigurisë financiare; (b) forcimi i rregullimit, mbikëqyrjes dhe zgjidhjes së regjimit të bankave dhe shoqatave të kursimeve dhe kreditit (SHKK); dhe (c) forcimin e rregullimit dhe mbikëqyrjes së fondeve investuese. Ky projekt kontribuon për objektivin e Kuadrit të Partneritetit me Vendin (KPV) 2015-2019 për përmirësimin e stabilitetit financiar. </w:t>
      </w:r>
    </w:p>
    <w:p w:rsidR="00221487" w:rsidRPr="00221487" w:rsidRDefault="00221487" w:rsidP="00221487">
      <w:pPr>
        <w:autoSpaceDE w:val="0"/>
        <w:autoSpaceDN w:val="0"/>
        <w:adjustRightInd w:val="0"/>
        <w:spacing w:after="0"/>
        <w:jc w:val="both"/>
        <w:rPr>
          <w:rFonts w:ascii="Times New Roman" w:eastAsia="Times New Roman" w:hAnsi="Times New Roman" w:cs="Times New Roman"/>
          <w:noProof/>
          <w:color w:val="000000" w:themeColor="text1"/>
          <w:szCs w:val="24"/>
          <w:lang w:val="sq-AL"/>
        </w:rPr>
      </w:pPr>
      <w:r w:rsidRPr="00221487">
        <w:rPr>
          <w:rFonts w:ascii="Times New Roman" w:eastAsia="Times New Roman" w:hAnsi="Times New Roman" w:cs="Times New Roman"/>
          <w:b/>
          <w:noProof/>
          <w:color w:val="000000" w:themeColor="text1"/>
          <w:szCs w:val="24"/>
          <w:lang w:val="sq-AL"/>
        </w:rPr>
        <w:t>Suedia</w:t>
      </w:r>
      <w:r w:rsidRPr="00221487">
        <w:rPr>
          <w:rFonts w:ascii="Times New Roman" w:eastAsia="Times New Roman" w:hAnsi="Times New Roman" w:cs="Times New Roman"/>
          <w:noProof/>
          <w:color w:val="000000" w:themeColor="text1"/>
          <w:szCs w:val="24"/>
          <w:lang w:val="sq-AL"/>
        </w:rPr>
        <w:t xml:space="preserve"> – Në maj 2018, qeveria e Shqipërisë miratoi një grant prej 36.3 milion kraunash suedeze (3.4 milion euro) në mbështetje të një projekti për krijimin e një kadastre fiskale. Granti ofrohet nga qeveria suedeze nëpërmjet Agjencisë Suedeze për Zvillim e Bashkëpunim Ndërkombëtar, SIDA dhe do të zbatohet gjatë periudhës 2018-2020. Qëllimi kryesor i projektit është ngritja e një kadastre për qëllime të tatimit mbi pronën dhe kontrobuti tek ngritja e kapaciteteve të vetë-qeverisjes vendore në Shqipëri duke rritur efikasitetin e shfrytëzimit të të ardhurave të buxhetit dhe prezantimin e tatimit mb pronën bazuar në vlerën e tregut. </w:t>
      </w:r>
    </w:p>
    <w:p w:rsidR="00221487" w:rsidRPr="00221487" w:rsidRDefault="00221487" w:rsidP="00221487">
      <w:pPr>
        <w:autoSpaceDE w:val="0"/>
        <w:autoSpaceDN w:val="0"/>
        <w:adjustRightInd w:val="0"/>
        <w:spacing w:after="0"/>
        <w:jc w:val="both"/>
        <w:rPr>
          <w:rFonts w:ascii="Times New Roman" w:eastAsia="Times New Roman" w:hAnsi="Times New Roman" w:cs="Times New Roman"/>
          <w:noProof/>
          <w:color w:val="000000" w:themeColor="text1"/>
          <w:szCs w:val="24"/>
          <w:lang w:val="sq-AL"/>
        </w:rPr>
      </w:pPr>
      <w:r w:rsidRPr="00221487">
        <w:rPr>
          <w:rFonts w:ascii="Times New Roman" w:eastAsia="Times New Roman" w:hAnsi="Times New Roman" w:cs="Times New Roman"/>
          <w:b/>
          <w:noProof/>
          <w:color w:val="000000" w:themeColor="text1"/>
          <w:szCs w:val="24"/>
          <w:lang w:val="sq-AL"/>
        </w:rPr>
        <w:t>Zvicra</w:t>
      </w:r>
      <w:r w:rsidRPr="00221487">
        <w:rPr>
          <w:rFonts w:ascii="Times New Roman" w:eastAsia="Times New Roman" w:hAnsi="Times New Roman" w:cs="Times New Roman"/>
          <w:noProof/>
          <w:color w:val="000000" w:themeColor="text1"/>
          <w:szCs w:val="24"/>
          <w:lang w:val="sq-AL"/>
        </w:rPr>
        <w:t xml:space="preserve"> – ka një portofol të madh projektesh që mbështesin MFP-në, përfshirë: MFP nën-kombëtare, parashikimin makro, administratën tatimore, statistikat e financave qeveritare, kontabilitetin publik dhe menaxhimin e borxhit. Agjencia e financimit është Sekretariati Shtetëror për Çështjet Ekonomike (SSÇE) dhe shumica e këtyre projekteve zbatohen nga BB apo FMN.</w:t>
      </w:r>
    </w:p>
    <w:p w:rsidR="00221487" w:rsidRPr="00221487" w:rsidRDefault="00221487" w:rsidP="00221487">
      <w:pPr>
        <w:autoSpaceDE w:val="0"/>
        <w:autoSpaceDN w:val="0"/>
        <w:adjustRightInd w:val="0"/>
        <w:spacing w:after="0"/>
        <w:jc w:val="both"/>
        <w:rPr>
          <w:rFonts w:ascii="Times New Roman" w:eastAsia="Times New Roman" w:hAnsi="Times New Roman" w:cs="Times New Roman"/>
          <w:noProof/>
          <w:color w:val="000000" w:themeColor="text1"/>
          <w:szCs w:val="24"/>
          <w:lang w:val="sq-AL"/>
        </w:rPr>
      </w:pPr>
      <w:r w:rsidRPr="00221487">
        <w:rPr>
          <w:rFonts w:ascii="Times New Roman" w:eastAsia="Times New Roman" w:hAnsi="Times New Roman" w:cs="Times New Roman"/>
          <w:noProof/>
          <w:color w:val="000000" w:themeColor="text1"/>
          <w:szCs w:val="24"/>
          <w:lang w:val="sq-AL"/>
        </w:rPr>
        <w:t>Në 2018 Zvicra nisi projektin e ri “Forcimi i Menaxhimit të Financave Publike në nivel nën-kombëtar në Shqipëri” dhe ka për qëllim të kontribuojë në përmirësimin e MFP nën-kombëtare në Shqipëri për mundësimin e disiplinës financiare, përdorimit efikas të burimeve publike dhe përmirësimin e ofrimit të shërbimeve. Projekti mbështet të gjitha 61 bashkitë në Shqipëri si dhe Ministrinë e Financave dhe Ekonomisë për zhvillimin dhe zbatimin e proceseve kyçe të MFP për mbledhje më të efektshme të të ardhurave, formulim buxheti, zbatim dhe monitorim, si dhe kontrollin e auditimin e brendshëm.</w:t>
      </w:r>
    </w:p>
    <w:p w:rsidR="00221487" w:rsidRPr="00221487" w:rsidRDefault="00221487" w:rsidP="00221487">
      <w:pPr>
        <w:spacing w:after="0"/>
        <w:jc w:val="both"/>
        <w:rPr>
          <w:rFonts w:ascii="Times New Roman" w:eastAsia="Times New Roman" w:hAnsi="Times New Roman" w:cs="Times New Roman"/>
          <w:noProof/>
          <w:color w:val="212121"/>
          <w:szCs w:val="24"/>
          <w:lang w:val="sq-AL" w:eastAsia="en-GB"/>
        </w:rPr>
      </w:pPr>
      <w:r w:rsidRPr="00221487">
        <w:rPr>
          <w:rFonts w:ascii="Times New Roman" w:eastAsia="Times New Roman" w:hAnsi="Times New Roman" w:cs="Times New Roman"/>
          <w:b/>
          <w:noProof/>
          <w:color w:val="212121"/>
          <w:szCs w:val="24"/>
          <w:lang w:val="sq-AL" w:eastAsia="en-GB"/>
        </w:rPr>
        <w:t>Nën Fondin e Besimit të Sistemit të Planifikimit të Integruar II</w:t>
      </w:r>
      <w:r w:rsidRPr="00221487">
        <w:rPr>
          <w:rFonts w:ascii="Times New Roman" w:eastAsia="Times New Roman" w:hAnsi="Times New Roman" w:cs="Times New Roman"/>
          <w:noProof/>
          <w:color w:val="212121"/>
          <w:szCs w:val="24"/>
          <w:lang w:val="sq-AL" w:eastAsia="en-GB"/>
        </w:rPr>
        <w:t xml:space="preserve"> që menaxhohet nga Banka Botërore dhe aktualisht financohet nga EU/IPA 2013, mbështetja e Suedisë dhe e Zvicrës vazhdon të jepet për komponentë financimi për të forcuar sistemet financiarë, nëpërmjet SIM të Financave Shqiptare (SIMFSH), Sistemi Informatik për Menaxhimin e Ndihmës së Huaj (SIMNH), dhe Sistemeve Informatike të Integruara të Menaxhimit të Sistemit të Planifikimit (SIIMSP), si dhe për forcimin e kapaciteteve të qeverisë për parashikimin makroekonomik dhe përgatitjen e buxhetit. Tre kryesoret ofrojnë një platformë të automatizuar për funksionimin e Sistemit të Integruar të Planifikimit. Gjatë vitit 201 është bërë progres i rëndësishëm në zbatimin e të tre sistemeve: SIIMSP, SIMFSH dhe SIMNH. Po përgatiten modulet e SIMFSH dhe gjithashtu janë në proces integrime të mundshme me sistemet SIIMSP dhe SIMNH. SIMFSH modules are being prepared and possible integrations with SIMNH and SISPI system are in process. SIMFSH në nivel lokal do të ishte një mundësi për mbështetje të mëtejshme nga partnerët për zhvillim.</w:t>
      </w:r>
    </w:p>
    <w:p w:rsidR="00221487" w:rsidRPr="00221487" w:rsidRDefault="00221487" w:rsidP="00221487">
      <w:pPr>
        <w:spacing w:after="0"/>
        <w:jc w:val="both"/>
        <w:rPr>
          <w:rFonts w:ascii="Times New Roman" w:eastAsia="Times New Roman" w:hAnsi="Times New Roman" w:cs="Times New Roman"/>
          <w:noProof/>
          <w:color w:val="212121"/>
          <w:szCs w:val="24"/>
          <w:lang w:val="sq-AL" w:eastAsia="en-GB"/>
        </w:rPr>
      </w:pPr>
      <w:r w:rsidRPr="00221487">
        <w:rPr>
          <w:rFonts w:ascii="Times New Roman" w:eastAsia="Times New Roman" w:hAnsi="Times New Roman" w:cs="Times New Roman"/>
          <w:b/>
          <w:noProof/>
          <w:color w:val="212121"/>
          <w:szCs w:val="24"/>
          <w:lang w:val="sq-AL" w:eastAsia="en-GB"/>
        </w:rPr>
        <w:t>USAID</w:t>
      </w:r>
      <w:r w:rsidRPr="00221487">
        <w:rPr>
          <w:rFonts w:ascii="Times New Roman" w:eastAsia="Times New Roman" w:hAnsi="Times New Roman" w:cs="Times New Roman"/>
          <w:noProof/>
          <w:color w:val="212121"/>
          <w:szCs w:val="24"/>
          <w:lang w:val="sq-AL" w:eastAsia="en-GB"/>
        </w:rPr>
        <w:t xml:space="preserve"> vazhdon të mbështesë decentralizimin fiskal.</w:t>
      </w:r>
    </w:p>
    <w:p w:rsidR="00221487" w:rsidRPr="00221487" w:rsidRDefault="00221487" w:rsidP="00221487">
      <w:pPr>
        <w:spacing w:after="0"/>
        <w:jc w:val="both"/>
        <w:rPr>
          <w:rFonts w:ascii="Times New Roman" w:eastAsia="Times New Roman" w:hAnsi="Times New Roman" w:cs="Times New Roman"/>
          <w:noProof/>
          <w:color w:val="212121"/>
          <w:szCs w:val="24"/>
          <w:lang w:val="sq-AL" w:eastAsia="en-GB"/>
        </w:rPr>
      </w:pPr>
      <w:r w:rsidRPr="00221487">
        <w:rPr>
          <w:rFonts w:ascii="Times New Roman" w:eastAsia="Times New Roman" w:hAnsi="Times New Roman" w:cs="Times New Roman"/>
          <w:noProof/>
          <w:color w:val="212121"/>
          <w:szCs w:val="24"/>
          <w:lang w:val="sq-AL" w:eastAsia="en-GB"/>
        </w:rPr>
        <w:t xml:space="preserve">FMN ka vazhduar të sigurojë këshilla teknike për Ministrinë e Financave dhe Ekonomisë veçanërisht në fushat e menaxhimit të financave publike dhe administrimit të të ardhurave, pasi përfundoi me sukses  në shkurt 2017 programin e saj tre vjeçar që synon rivendosjen e rritjes ekonomike dhe kontrollin e borxhit publik vazhdimisht në rritje që kishte kërcënuar stabilitetin e ekonomisë. Në fushën e MFP, FMN ka kryer një vlerësim të kuadrit të administrimit të investimeve publike dhe ka siguruar AT të mëvonshme në përmirësimin e kuadrit PIM përfshirë partneritetet Publike-Private. Asistencë teknike thelbësore është siguruar për të ndihmuar autoritetet në krijimin </w:t>
      </w:r>
      <w:r w:rsidRPr="00221487">
        <w:rPr>
          <w:rFonts w:ascii="Times New Roman" w:eastAsia="Times New Roman" w:hAnsi="Times New Roman" w:cs="Times New Roman"/>
          <w:noProof/>
          <w:color w:val="212121"/>
          <w:szCs w:val="24"/>
          <w:lang w:val="sq-AL" w:eastAsia="en-GB"/>
        </w:rPr>
        <w:lastRenderedPageBreak/>
        <w:t>e një Njësie të Riskut Fiskal, prodhimin e një Deklarate të Riskut Fiskal dhe forcimin e kapaciteteve në identifikimin, kuantifikimin dhe menaxhimin e rrisqeve fiskale. AT është siguruar edhe në fushën e menaxhimit të parave dhe parashikimit të parave të gatshme, megjithëse AT pasuese dhe një integrim më i mirë me menaxhimin e borxhit është i nevojshëm. Në fushën e Administratës së të Ardhurave, FMN ka pasur një përfshirje të gjatë dhe të qëndrueshme në ofrimin e asistencës teknike për Administratën Tatimore me qëllim të ndihmojë DPT (Drejtorinë e Përgjithshme të Tatimeve) në përmirësimin e drejtimit, mbylljen e hendekut të taksave, miratimin e metodave moderne të përputhshmërisë dhe auditimit të bazuara në risk dhe trajtimin e mangësive kronike në pastrimin e rimbursimeve të TVSH-së. Disa nga aktivitetet e AT të ofruara në këto fusha janë me bashkëfinancim nga BE dhe SSHZÇE.</w:t>
      </w:r>
    </w:p>
    <w:p w:rsidR="00221487" w:rsidRPr="00221487" w:rsidRDefault="00221487" w:rsidP="00221487">
      <w:pPr>
        <w:spacing w:after="0"/>
        <w:jc w:val="both"/>
        <w:rPr>
          <w:rFonts w:ascii="Times New Roman" w:eastAsia="Times New Roman" w:hAnsi="Times New Roman" w:cs="Times New Roman"/>
          <w:noProof/>
          <w:color w:val="212121"/>
          <w:szCs w:val="24"/>
          <w:lang w:val="sq-AL" w:eastAsia="en-GB"/>
        </w:rPr>
      </w:pPr>
      <w:r w:rsidRPr="00221487">
        <w:rPr>
          <w:rFonts w:ascii="Times New Roman" w:eastAsia="Times New Roman" w:hAnsi="Times New Roman" w:cs="Times New Roman"/>
          <w:b/>
          <w:noProof/>
          <w:color w:val="212121"/>
          <w:szCs w:val="24"/>
          <w:lang w:val="sq-AL" w:eastAsia="en-GB"/>
        </w:rPr>
        <w:t>Pjesëmarrje në Programin e Doganave të</w:t>
      </w:r>
      <w:r w:rsidRPr="00221487">
        <w:rPr>
          <w:rFonts w:ascii="Times New Roman" w:eastAsia="Times New Roman" w:hAnsi="Times New Roman" w:cs="Times New Roman"/>
          <w:noProof/>
          <w:color w:val="212121"/>
          <w:szCs w:val="24"/>
          <w:lang w:val="sq-AL" w:eastAsia="en-GB"/>
        </w:rPr>
        <w:t xml:space="preserve"> </w:t>
      </w:r>
      <w:r w:rsidRPr="00221487">
        <w:rPr>
          <w:rFonts w:ascii="Times New Roman" w:eastAsia="Times New Roman" w:hAnsi="Times New Roman" w:cs="Times New Roman"/>
          <w:b/>
          <w:noProof/>
          <w:color w:val="212121"/>
          <w:szCs w:val="24"/>
          <w:lang w:val="sq-AL" w:eastAsia="en-GB"/>
        </w:rPr>
        <w:t>DG TAXUD 2020</w:t>
      </w:r>
      <w:r w:rsidRPr="00221487">
        <w:rPr>
          <w:rFonts w:ascii="Times New Roman" w:eastAsia="Times New Roman" w:hAnsi="Times New Roman" w:cs="Times New Roman"/>
          <w:noProof/>
          <w:color w:val="212121"/>
          <w:szCs w:val="24"/>
          <w:lang w:val="sq-AL" w:eastAsia="en-GB"/>
        </w:rPr>
        <w:t xml:space="preserve"> - Që prej vitit 2014, Qeveria e Shqipërisë ka nënshkruar një marrëveshje me DG TAXUD për pjesëmarrjen në Programin "Doganat 2020" nga 1 Prill 2014 deri më 31 Mars 2020. Qëllimi i përgjithshëm i Programit është të mbështesë funksionimin dhe modernizimin e Bashkimit Doganor me qëllim forcimin e tregut të brendshëm përmes bashkëpunimit ndërmjet vendeve pjesëmarrëse, autoriteteve të tyre doganore dhe zyrtarëve të tyre. Pjesëmarrja në Programin "Doganat 2020" do të vazhdojë të ketë ndikim në forcimin e bashkëpunimit me vendet e tjera të BE-së, pjesëmarrëse në këtë Program. </w:t>
      </w:r>
    </w:p>
    <w:p w:rsidR="00221487" w:rsidRPr="00221487" w:rsidRDefault="00221487" w:rsidP="00221487">
      <w:pPr>
        <w:spacing w:after="0"/>
        <w:jc w:val="both"/>
        <w:rPr>
          <w:rFonts w:ascii="Times New Roman" w:eastAsia="Times New Roman" w:hAnsi="Times New Roman" w:cs="Times New Roman"/>
          <w:noProof/>
          <w:color w:val="212121"/>
          <w:szCs w:val="24"/>
          <w:lang w:val="sq-AL" w:eastAsia="en-GB"/>
        </w:rPr>
      </w:pPr>
      <w:r w:rsidRPr="00221487">
        <w:rPr>
          <w:rFonts w:ascii="Times New Roman" w:eastAsia="Times New Roman" w:hAnsi="Times New Roman" w:cs="Times New Roman"/>
          <w:noProof/>
          <w:color w:val="212121"/>
          <w:szCs w:val="24"/>
          <w:lang w:val="sq-AL" w:eastAsia="en-GB"/>
        </w:rPr>
        <w:t xml:space="preserve">Për më tepër, </w:t>
      </w:r>
      <w:r w:rsidRPr="00221487">
        <w:rPr>
          <w:rFonts w:ascii="Times New Roman" w:eastAsia="Times New Roman" w:hAnsi="Times New Roman" w:cs="Times New Roman"/>
          <w:b/>
          <w:noProof/>
          <w:color w:val="212121"/>
          <w:szCs w:val="24"/>
          <w:lang w:val="sq-AL" w:eastAsia="en-GB"/>
        </w:rPr>
        <w:t xml:space="preserve">ndërtimi i kapaciteteve </w:t>
      </w:r>
      <w:r w:rsidRPr="00221487">
        <w:rPr>
          <w:rFonts w:ascii="Times New Roman" w:eastAsia="Times New Roman" w:hAnsi="Times New Roman" w:cs="Times New Roman"/>
          <w:noProof/>
          <w:color w:val="212121"/>
          <w:szCs w:val="24"/>
          <w:lang w:val="sq-AL" w:eastAsia="en-GB"/>
        </w:rPr>
        <w:t xml:space="preserve">të MFP është duke u </w:t>
      </w:r>
      <w:r w:rsidR="0008077D">
        <w:rPr>
          <w:rFonts w:ascii="Times New Roman" w:eastAsia="Times New Roman" w:hAnsi="Times New Roman" w:cs="Times New Roman"/>
          <w:noProof/>
          <w:color w:val="212121"/>
          <w:szCs w:val="24"/>
          <w:lang w:val="sq-AL" w:eastAsia="en-GB"/>
        </w:rPr>
        <w:t>zhvilluar nëpërmjet</w:t>
      </w:r>
      <w:r w:rsidRPr="00221487">
        <w:rPr>
          <w:rFonts w:ascii="Times New Roman" w:eastAsia="Times New Roman" w:hAnsi="Times New Roman" w:cs="Times New Roman"/>
          <w:noProof/>
          <w:color w:val="212121"/>
          <w:szCs w:val="24"/>
          <w:lang w:val="sq-AL" w:eastAsia="en-GB"/>
        </w:rPr>
        <w:t xml:space="preserve"> seminarëve praktikë, vizitave studimore dhe konferencave, të ofruara nga OECD / SIGMA, një program rajonal </w:t>
      </w:r>
      <w:r w:rsidR="0008077D">
        <w:rPr>
          <w:rFonts w:ascii="Times New Roman" w:eastAsia="Times New Roman" w:hAnsi="Times New Roman" w:cs="Times New Roman"/>
          <w:noProof/>
          <w:color w:val="212121"/>
          <w:szCs w:val="24"/>
          <w:lang w:val="sq-AL" w:eastAsia="en-GB"/>
        </w:rPr>
        <w:t>për zhvillim kapacitetesh:  “Forcimi i Qeverisjes Ekonomike dhe Menaxhimit Financiar Publik”</w:t>
      </w:r>
      <w:r w:rsidRPr="00221487">
        <w:rPr>
          <w:rFonts w:ascii="Times New Roman" w:eastAsia="Times New Roman" w:hAnsi="Times New Roman" w:cs="Times New Roman"/>
          <w:noProof/>
          <w:color w:val="212121"/>
          <w:szCs w:val="24"/>
          <w:lang w:val="sq-AL" w:eastAsia="en-GB"/>
        </w:rPr>
        <w:t xml:space="preserve"> financuar nga BE-ja </w:t>
      </w:r>
      <w:r w:rsidR="0008077D">
        <w:rPr>
          <w:rFonts w:ascii="Times New Roman" w:eastAsia="Times New Roman" w:hAnsi="Times New Roman" w:cs="Times New Roman"/>
          <w:noProof/>
          <w:color w:val="212121"/>
          <w:szCs w:val="24"/>
          <w:lang w:val="sq-AL" w:eastAsia="en-GB"/>
        </w:rPr>
        <w:t xml:space="preserve">dhe </w:t>
      </w:r>
      <w:r w:rsidRPr="00221487">
        <w:rPr>
          <w:rFonts w:ascii="Times New Roman" w:eastAsia="Times New Roman" w:hAnsi="Times New Roman" w:cs="Times New Roman"/>
          <w:noProof/>
          <w:color w:val="212121"/>
          <w:szCs w:val="24"/>
          <w:lang w:val="sq-AL" w:eastAsia="en-GB"/>
        </w:rPr>
        <w:t xml:space="preserve">që </w:t>
      </w:r>
      <w:r w:rsidR="0008077D">
        <w:rPr>
          <w:rFonts w:ascii="Times New Roman" w:eastAsia="Times New Roman" w:hAnsi="Times New Roman" w:cs="Times New Roman"/>
          <w:noProof/>
          <w:color w:val="212121"/>
          <w:szCs w:val="24"/>
          <w:lang w:val="sq-AL" w:eastAsia="en-GB"/>
        </w:rPr>
        <w:t xml:space="preserve">po </w:t>
      </w:r>
      <w:r w:rsidRPr="00221487">
        <w:rPr>
          <w:rFonts w:ascii="Times New Roman" w:eastAsia="Times New Roman" w:hAnsi="Times New Roman" w:cs="Times New Roman"/>
          <w:noProof/>
          <w:color w:val="212121"/>
          <w:szCs w:val="24"/>
          <w:lang w:val="sq-AL" w:eastAsia="en-GB"/>
        </w:rPr>
        <w:t>zbatohet</w:t>
      </w:r>
      <w:r w:rsidR="0008077D">
        <w:rPr>
          <w:rFonts w:ascii="Times New Roman" w:eastAsia="Times New Roman" w:hAnsi="Times New Roman" w:cs="Times New Roman"/>
          <w:noProof/>
          <w:color w:val="212121"/>
          <w:szCs w:val="24"/>
          <w:lang w:val="sq-AL" w:eastAsia="en-GB"/>
        </w:rPr>
        <w:t xml:space="preserve"> nga FMN-ja</w:t>
      </w:r>
      <w:r w:rsidRPr="00221487">
        <w:rPr>
          <w:rFonts w:ascii="Times New Roman" w:eastAsia="Times New Roman" w:hAnsi="Times New Roman" w:cs="Times New Roman"/>
          <w:noProof/>
          <w:color w:val="212121"/>
          <w:szCs w:val="24"/>
          <w:lang w:val="sq-AL" w:eastAsia="en-GB"/>
        </w:rPr>
        <w:t>, Shkolla Rajonale e Administratës Publike (RESPA), Institucioni i Përbashkët i Vjenës (JVI ), Qendra e Ekselencës në Financë (CEF), dhe TAIEX.</w:t>
      </w:r>
    </w:p>
    <w:p w:rsidR="00221487" w:rsidRPr="00221487" w:rsidRDefault="00221487" w:rsidP="00221487">
      <w:pPr>
        <w:spacing w:after="0"/>
        <w:jc w:val="both"/>
        <w:rPr>
          <w:rFonts w:ascii="Times New Roman" w:eastAsia="Times New Roman" w:hAnsi="Times New Roman" w:cs="Times New Roman"/>
          <w:noProof/>
          <w:color w:val="212121"/>
          <w:szCs w:val="24"/>
          <w:lang w:val="sq-AL" w:eastAsia="en-GB"/>
        </w:rPr>
      </w:pPr>
    </w:p>
    <w:p w:rsidR="00221487" w:rsidRPr="00221487" w:rsidRDefault="00221487" w:rsidP="00221487">
      <w:pPr>
        <w:keepNext/>
        <w:spacing w:after="0" w:line="240" w:lineRule="auto"/>
        <w:ind w:left="372"/>
        <w:jc w:val="both"/>
        <w:outlineLvl w:val="1"/>
        <w:rPr>
          <w:rFonts w:ascii="Times New Roman" w:eastAsia="Times" w:hAnsi="Times New Roman" w:cs="Times New Roman"/>
          <w:b/>
          <w:bCs/>
          <w:noProof/>
          <w:lang w:val="sq-AL"/>
        </w:rPr>
      </w:pPr>
      <w:bookmarkStart w:id="20" w:name="_Toc3984452"/>
      <w:r w:rsidRPr="00221487">
        <w:rPr>
          <w:rFonts w:ascii="Times New Roman" w:eastAsia="Times" w:hAnsi="Times New Roman" w:cs="Times New Roman"/>
          <w:b/>
          <w:bCs/>
          <w:noProof/>
          <w:lang w:val="sq-AL"/>
        </w:rPr>
        <w:t>2.2.</w:t>
      </w:r>
      <w:r w:rsidRPr="00221487">
        <w:rPr>
          <w:rFonts w:ascii="Arial" w:eastAsia="Arial" w:hAnsi="Arial" w:cs="Arial"/>
          <w:b/>
          <w:bCs/>
          <w:noProof/>
          <w:lang w:val="sq-AL"/>
        </w:rPr>
        <w:t xml:space="preserve"> </w:t>
      </w:r>
      <w:r w:rsidRPr="00221487">
        <w:rPr>
          <w:rFonts w:ascii="Times New Roman" w:eastAsia="Times" w:hAnsi="Times New Roman" w:cs="Times New Roman"/>
          <w:b/>
          <w:bCs/>
          <w:noProof/>
          <w:lang w:val="sq-AL"/>
        </w:rPr>
        <w:t>Vlerësime në lidhje me MFP</w:t>
      </w:r>
      <w:bookmarkEnd w:id="20"/>
      <w:r w:rsidRPr="00221487">
        <w:rPr>
          <w:rFonts w:ascii="Times New Roman" w:eastAsia="Times" w:hAnsi="Times New Roman" w:cs="Times New Roman"/>
          <w:b/>
          <w:bCs/>
          <w:noProof/>
          <w:lang w:val="sq-AL"/>
        </w:rPr>
        <w:t xml:space="preserve">   </w:t>
      </w:r>
    </w:p>
    <w:p w:rsidR="00221487" w:rsidRPr="00221487" w:rsidRDefault="00221487" w:rsidP="00221487">
      <w:pPr>
        <w:spacing w:after="0" w:line="240" w:lineRule="auto"/>
        <w:ind w:left="1"/>
        <w:rPr>
          <w:rFonts w:ascii="Times New Roman" w:eastAsia="Times New Roman" w:hAnsi="Times New Roman" w:cs="Times New Roman"/>
          <w:noProof/>
          <w:lang w:val="sq-AL"/>
        </w:rPr>
      </w:pPr>
      <w:r w:rsidRPr="00221487">
        <w:rPr>
          <w:rFonts w:ascii="Times New Roman" w:eastAsia="Times New Roman" w:hAnsi="Times New Roman" w:cs="Times New Roman"/>
          <w:b/>
          <w:noProof/>
          <w:lang w:val="sq-AL"/>
        </w:rPr>
        <w:t xml:space="preserve"> </w:t>
      </w:r>
    </w:p>
    <w:p w:rsidR="00221487" w:rsidRPr="00221487" w:rsidRDefault="00221487" w:rsidP="00221487">
      <w:pPr>
        <w:keepNext/>
        <w:spacing w:after="0" w:line="240" w:lineRule="auto"/>
        <w:ind w:left="372"/>
        <w:jc w:val="both"/>
        <w:outlineLvl w:val="2"/>
        <w:rPr>
          <w:rFonts w:ascii="Times New Roman" w:eastAsia="Times New Roman" w:hAnsi="Times New Roman" w:cs="Times New Roman"/>
          <w:noProof/>
          <w:lang w:val="sq-AL"/>
        </w:rPr>
      </w:pPr>
      <w:bookmarkStart w:id="21" w:name="_Toc3984453"/>
      <w:r w:rsidRPr="00221487">
        <w:rPr>
          <w:rFonts w:ascii="Times New Roman" w:eastAsia="Times New Roman" w:hAnsi="Times New Roman" w:cs="Times New Roman"/>
          <w:noProof/>
          <w:lang w:val="sq-AL"/>
        </w:rPr>
        <w:t>2.1.1.</w:t>
      </w:r>
      <w:r w:rsidRPr="00221487">
        <w:rPr>
          <w:rFonts w:ascii="Arial" w:eastAsia="Arial" w:hAnsi="Arial" w:cs="Arial"/>
          <w:noProof/>
          <w:lang w:val="sq-AL"/>
        </w:rPr>
        <w:t xml:space="preserve"> </w:t>
      </w:r>
      <w:r w:rsidRPr="00221487">
        <w:rPr>
          <w:rFonts w:ascii="Times New Roman" w:eastAsia="Times New Roman" w:hAnsi="Times New Roman" w:cs="Times New Roman"/>
          <w:noProof/>
          <w:lang w:val="sq-AL"/>
        </w:rPr>
        <w:t xml:space="preserve">Asistenca Teknike për MFP, e financuar nga BE-ja </w:t>
      </w:r>
      <w:bookmarkEnd w:id="21"/>
    </w:p>
    <w:p w:rsidR="00221487" w:rsidRPr="00221487" w:rsidRDefault="00221487" w:rsidP="00221487">
      <w:pPr>
        <w:spacing w:after="0"/>
        <w:jc w:val="both"/>
        <w:rPr>
          <w:rFonts w:ascii="Times New Roman" w:eastAsia="Times New Roman" w:hAnsi="Times New Roman" w:cs="Times New Roman"/>
          <w:noProof/>
          <w:lang w:val="sq-AL"/>
        </w:rPr>
      </w:pPr>
    </w:p>
    <w:p w:rsidR="00221487" w:rsidRPr="00221487" w:rsidRDefault="00221487" w:rsidP="00221487">
      <w:pPr>
        <w:spacing w:after="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Në mbështetje të KD të MFP, në prill 2017 nisi punën Projekti i Asistencës Teknike (AT) që e shoqëron, financuar nga BE-ja. Objektivi i përgjithshëm i AT është të forcojë kapacitetin e Qeverisë dhe veçanërisht të MFE-së dhe palëve të tjera të interesuara për të zbatuar strategjinë e reformës në financat publike, për të forcuar proceset e transparencës dhe llogaridhënies përmes dialogut të zgjeruar dhe disponueshmërisë së informacionit përmes Parlamentit, Kontrollit të Lartë të Shtetit dhe forcimit të kapacitetit të MFE-së për një bashkërendim dhe menaxhim më të mirë të procesit të reformës. Gjithashtu, do të ofrohet vlerësim, këshillim politikash, ndërtim kapacitetesh, etj për MFE-në dhe palë të tjera të interesuara të përfshira në zbatimin e procesit të reformimit. </w:t>
      </w:r>
    </w:p>
    <w:p w:rsidR="00221487" w:rsidRPr="00221487" w:rsidRDefault="00221487" w:rsidP="00221487">
      <w:pPr>
        <w:spacing w:after="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Produktet kyçe të projektit për çdo komponent gjatë 2018 përshkruhen më poshtë: </w:t>
      </w:r>
    </w:p>
    <w:p w:rsidR="00221487" w:rsidRPr="00221487" w:rsidRDefault="00221487" w:rsidP="00221487">
      <w:pPr>
        <w:spacing w:after="0"/>
        <w:jc w:val="both"/>
        <w:rPr>
          <w:rFonts w:ascii="Times New Roman" w:eastAsia="Times New Roman" w:hAnsi="Times New Roman" w:cs="Times New Roman"/>
          <w:i/>
          <w:noProof/>
          <w:lang w:val="sq-AL"/>
        </w:rPr>
      </w:pPr>
      <w:r w:rsidRPr="00221487">
        <w:rPr>
          <w:rFonts w:ascii="Times New Roman" w:eastAsia="Times New Roman" w:hAnsi="Times New Roman" w:cs="Times New Roman"/>
          <w:i/>
          <w:noProof/>
          <w:lang w:val="sq-AL"/>
        </w:rPr>
        <w:t>Komponenti 1: Menaxhimi i i Mbështetjes së Buxhetit të BE-së</w:t>
      </w:r>
    </w:p>
    <w:p w:rsidR="00221487" w:rsidRPr="00221487" w:rsidRDefault="00221487" w:rsidP="00221487">
      <w:pPr>
        <w:spacing w:after="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1.</w:t>
      </w:r>
      <w:r w:rsidRPr="00221487">
        <w:rPr>
          <w:rFonts w:ascii="Times New Roman" w:eastAsia="Times New Roman" w:hAnsi="Times New Roman" w:cs="Times New Roman"/>
          <w:noProof/>
          <w:lang w:val="sq-AL"/>
        </w:rPr>
        <w:tab/>
        <w:t>U zhvilluan dy seminarë praktikë që kanë për qëllim integrimin e programeve të Mbështetjes Buxhetore në PBA;</w:t>
      </w:r>
    </w:p>
    <w:p w:rsidR="00221487" w:rsidRPr="00221487" w:rsidRDefault="00221487" w:rsidP="00221487">
      <w:pPr>
        <w:spacing w:after="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2.</w:t>
      </w:r>
      <w:r w:rsidRPr="00221487">
        <w:rPr>
          <w:rFonts w:ascii="Times New Roman" w:eastAsia="Times New Roman" w:hAnsi="Times New Roman" w:cs="Times New Roman"/>
          <w:noProof/>
          <w:lang w:val="sq-AL"/>
        </w:rPr>
        <w:tab/>
        <w:t>U hartuan dhe miratuan nga Sekretarët e Përgjithshëm të të gjithë ministrive të linjës Termat e Referencës MBS/TR për ngritjen e një Grupi Pune ndër-sektorial.</w:t>
      </w:r>
    </w:p>
    <w:p w:rsidR="00221487" w:rsidRPr="00221487" w:rsidRDefault="00221487" w:rsidP="00221487">
      <w:pPr>
        <w:spacing w:after="0"/>
        <w:jc w:val="both"/>
        <w:rPr>
          <w:rFonts w:ascii="Times New Roman" w:eastAsia="Times New Roman" w:hAnsi="Times New Roman" w:cs="Times New Roman"/>
          <w:i/>
          <w:noProof/>
          <w:lang w:val="sq-AL"/>
        </w:rPr>
      </w:pPr>
      <w:r w:rsidRPr="00221487">
        <w:rPr>
          <w:rFonts w:ascii="Times New Roman" w:eastAsia="Times New Roman" w:hAnsi="Times New Roman" w:cs="Times New Roman"/>
          <w:i/>
          <w:noProof/>
          <w:lang w:val="sq-AL"/>
        </w:rPr>
        <w:t>Komponenti 2: Menaxhimi i Reformës MFP</w:t>
      </w:r>
    </w:p>
    <w:p w:rsidR="00221487" w:rsidRPr="00221487" w:rsidRDefault="00221487" w:rsidP="00221487">
      <w:pPr>
        <w:spacing w:after="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1.  Shqyrtim i gjerë i funksioneve dhe raporteve kryesore të ndërmarra nga MFE dhe një Raport Shqyrtimi Funksional i Kalendarit të Vendimmarrjes: kRaportimi dhe Paraqitja e Marrëveshjeve Institucionale, dërguar MFE-së;</w:t>
      </w:r>
    </w:p>
    <w:p w:rsidR="00221487" w:rsidRPr="00221487" w:rsidRDefault="00221487" w:rsidP="00221487">
      <w:pPr>
        <w:spacing w:after="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lastRenderedPageBreak/>
        <w:t>2. Komisioni Teknik mbajti seminarin praktik prezantues "Rishikimi Afatmesëm (RA) i Strategjisë së Menaxhimit të Financave Publike 2014-2020" me palët përkatëse të strategjisë MFP, ku u miratua dhe u prezantua dhe qasja për ndërmarrjen e dokumentit të RA;</w:t>
      </w:r>
    </w:p>
    <w:p w:rsidR="00221487" w:rsidRPr="00221487" w:rsidRDefault="00221487" w:rsidP="00221487">
      <w:pPr>
        <w:spacing w:after="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3. U mbështet drejtoria e MFP për ndërmarrjen e RA të Strategjisë MFP dhe për të përgatitur së bashku raportin e prezantuar gjetjet.</w:t>
      </w:r>
    </w:p>
    <w:p w:rsidR="00221487" w:rsidRPr="00221487" w:rsidRDefault="00221487" w:rsidP="00221487">
      <w:pPr>
        <w:spacing w:after="0"/>
        <w:jc w:val="both"/>
        <w:rPr>
          <w:rFonts w:ascii="Times New Roman" w:eastAsia="Times New Roman" w:hAnsi="Times New Roman" w:cs="Times New Roman"/>
          <w:i/>
          <w:noProof/>
          <w:lang w:val="sq-AL"/>
        </w:rPr>
      </w:pPr>
      <w:r w:rsidRPr="00221487">
        <w:rPr>
          <w:rFonts w:ascii="Times New Roman" w:eastAsia="Times New Roman" w:hAnsi="Times New Roman" w:cs="Times New Roman"/>
          <w:i/>
          <w:noProof/>
          <w:lang w:val="sq-AL"/>
        </w:rPr>
        <w:t>Komponenti 3: Planifikimi Vjetor dhe Afatmesëm i Buxhetit</w:t>
      </w:r>
    </w:p>
    <w:p w:rsidR="00221487" w:rsidRPr="00221487" w:rsidRDefault="00221487" w:rsidP="00221487">
      <w:pPr>
        <w:spacing w:after="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1.</w:t>
      </w:r>
      <w:r w:rsidRPr="00221487">
        <w:rPr>
          <w:rFonts w:ascii="Times New Roman" w:eastAsia="Times New Roman" w:hAnsi="Times New Roman" w:cs="Times New Roman"/>
          <w:noProof/>
          <w:lang w:val="sq-AL"/>
        </w:rPr>
        <w:tab/>
        <w:t xml:space="preserve">Përgatitje e Udhëzimeve Standarde për Përgatitjen e Buxhetit (USPB), të rishikuara që janë miratuar nga MFE dhe kanë zëvendësuar udhëzuesin e mëparshëm që ka dalë nga përdorimi;  </w:t>
      </w:r>
    </w:p>
    <w:p w:rsidR="00221487" w:rsidRPr="00221487" w:rsidRDefault="00221487" w:rsidP="00221487">
      <w:pPr>
        <w:spacing w:after="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2.</w:t>
      </w:r>
      <w:r w:rsidRPr="00221487">
        <w:rPr>
          <w:rFonts w:ascii="Times New Roman" w:eastAsia="Times New Roman" w:hAnsi="Times New Roman" w:cs="Times New Roman"/>
          <w:noProof/>
          <w:lang w:val="sq-AL"/>
        </w:rPr>
        <w:tab/>
        <w:t xml:space="preserve">Përgatitje dhe organizim nga ana e MFE-së e “aktivitetit prezantues” së USPB-së me pjesëmarrjen e më shumë se 80 pjesëmarrësve nga institucionet buxhetore;  </w:t>
      </w:r>
    </w:p>
    <w:p w:rsidR="00221487" w:rsidRPr="00221487" w:rsidRDefault="00221487" w:rsidP="00221487">
      <w:pPr>
        <w:spacing w:after="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3.</w:t>
      </w:r>
      <w:r w:rsidRPr="00221487">
        <w:rPr>
          <w:rFonts w:ascii="Times New Roman" w:eastAsia="Times New Roman" w:hAnsi="Times New Roman" w:cs="Times New Roman"/>
          <w:noProof/>
          <w:lang w:val="sq-AL"/>
        </w:rPr>
        <w:tab/>
        <w:t xml:space="preserve">Hartimi dhe zhvillimi i gjashtë kurseve standarde të trajnimit prej 1.5 - 2 ditësh dhe katër trajnime të zgjeruara 2-ditore për katër ministritë pilot mbi USPB-në e re; </w:t>
      </w:r>
    </w:p>
    <w:p w:rsidR="00221487" w:rsidRPr="00221487" w:rsidRDefault="00221487" w:rsidP="00221487">
      <w:pPr>
        <w:spacing w:after="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4.</w:t>
      </w:r>
      <w:r w:rsidRPr="00221487">
        <w:rPr>
          <w:rFonts w:ascii="Times New Roman" w:eastAsia="Times New Roman" w:hAnsi="Times New Roman" w:cs="Times New Roman"/>
          <w:noProof/>
          <w:lang w:val="sq-AL"/>
        </w:rPr>
        <w:tab/>
        <w:t xml:space="preserve">Janë dhënë komente të zgjeruara për udhëzuesit Menaxhimit të Investimeve Publike të MFE-së dhe Dekretin e Kryeministrit për buxhetimin e investimeve; </w:t>
      </w:r>
    </w:p>
    <w:p w:rsidR="00221487" w:rsidRPr="00221487" w:rsidRDefault="00221487" w:rsidP="00221487">
      <w:pPr>
        <w:spacing w:after="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5.</w:t>
      </w:r>
      <w:r w:rsidRPr="00221487">
        <w:rPr>
          <w:rFonts w:ascii="Times New Roman" w:eastAsia="Times New Roman" w:hAnsi="Times New Roman" w:cs="Times New Roman"/>
          <w:noProof/>
          <w:lang w:val="sq-AL"/>
        </w:rPr>
        <w:tab/>
        <w:t>Mbështetje për përgatitjen e dokumentit të PBA-së 2019 – 2021;</w:t>
      </w:r>
    </w:p>
    <w:p w:rsidR="00221487" w:rsidRPr="00221487" w:rsidRDefault="00221487" w:rsidP="00221487">
      <w:pPr>
        <w:spacing w:after="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6.</w:t>
      </w:r>
      <w:r w:rsidRPr="00221487">
        <w:rPr>
          <w:rFonts w:ascii="Times New Roman" w:eastAsia="Times New Roman" w:hAnsi="Times New Roman" w:cs="Times New Roman"/>
          <w:noProof/>
          <w:lang w:val="sq-AL"/>
        </w:rPr>
        <w:tab/>
        <w:t>Është asistuar MFE-ja në hartimin e udhëzimeve për buxhetin për fazën teknike;</w:t>
      </w:r>
    </w:p>
    <w:p w:rsidR="00221487" w:rsidRPr="00221487" w:rsidRDefault="00221487" w:rsidP="00221487">
      <w:pPr>
        <w:spacing w:after="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7.</w:t>
      </w:r>
      <w:r w:rsidRPr="00221487">
        <w:rPr>
          <w:rFonts w:ascii="Times New Roman" w:eastAsia="Times New Roman" w:hAnsi="Times New Roman" w:cs="Times New Roman"/>
          <w:noProof/>
          <w:lang w:val="sq-AL"/>
        </w:rPr>
        <w:tab/>
        <w:t>Trajnim standard dhe i zgjeruar me metodologjinë PBA përfshirë hartimin e Treguesve Kyç të Performancës (C2) që u janë kaluar Drejtuesve të Programit dhe Buxhetit të ML-ve;</w:t>
      </w:r>
    </w:p>
    <w:p w:rsidR="00221487" w:rsidRPr="00221487" w:rsidRDefault="00221487" w:rsidP="00221487">
      <w:pPr>
        <w:spacing w:after="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8.</w:t>
      </w:r>
      <w:r w:rsidRPr="00221487">
        <w:rPr>
          <w:rFonts w:ascii="Times New Roman" w:eastAsia="Times New Roman" w:hAnsi="Times New Roman" w:cs="Times New Roman"/>
          <w:noProof/>
          <w:lang w:val="sq-AL"/>
        </w:rPr>
        <w:tab/>
        <w:t xml:space="preserve">Hartimi i Raportit me mësimet e nxjerra mbi shqyrtimin e ecurisë së zbatimit të metodologjisë së rishikuar të PBA-së; </w:t>
      </w:r>
    </w:p>
    <w:p w:rsidR="00221487" w:rsidRPr="00221487" w:rsidRDefault="00221487" w:rsidP="00221487">
      <w:pPr>
        <w:spacing w:after="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9.</w:t>
      </w:r>
      <w:r w:rsidRPr="00221487">
        <w:rPr>
          <w:rFonts w:ascii="Times New Roman" w:eastAsia="Times New Roman" w:hAnsi="Times New Roman" w:cs="Times New Roman"/>
          <w:noProof/>
          <w:lang w:val="sq-AL"/>
        </w:rPr>
        <w:tab/>
        <w:t>Janë duke u përgatitur Udhëzues të rishikuar Sektoresh për ministri të caktuara</w:t>
      </w:r>
    </w:p>
    <w:p w:rsidR="00221487" w:rsidRPr="00221487" w:rsidRDefault="00221487" w:rsidP="00221487">
      <w:pPr>
        <w:spacing w:after="0"/>
        <w:jc w:val="both"/>
        <w:rPr>
          <w:rFonts w:ascii="Times New Roman" w:eastAsia="Times New Roman" w:hAnsi="Times New Roman" w:cs="Times New Roman"/>
          <w:i/>
          <w:noProof/>
          <w:lang w:val="sq-AL"/>
        </w:rPr>
      </w:pPr>
      <w:r w:rsidRPr="00221487">
        <w:rPr>
          <w:rFonts w:ascii="Times New Roman" w:eastAsia="Times New Roman" w:hAnsi="Times New Roman" w:cs="Times New Roman"/>
          <w:i/>
          <w:noProof/>
          <w:lang w:val="sq-AL"/>
        </w:rPr>
        <w:t>Komponenti 4: Transparenca dhe gjithëpërfshirja e buxhetit</w:t>
      </w:r>
    </w:p>
    <w:p w:rsidR="00221487" w:rsidRPr="00221487" w:rsidRDefault="00221487" w:rsidP="00221487">
      <w:pPr>
        <w:spacing w:after="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1.</w:t>
      </w:r>
      <w:r w:rsidRPr="00221487">
        <w:rPr>
          <w:rFonts w:ascii="Times New Roman" w:eastAsia="Times New Roman" w:hAnsi="Times New Roman" w:cs="Times New Roman"/>
          <w:noProof/>
          <w:lang w:val="sq-AL"/>
        </w:rPr>
        <w:tab/>
        <w:t xml:space="preserve">Hartimi i Kuadrit Metodologjik për raportin mbi Buxhetin e Qytetarëve; </w:t>
      </w:r>
    </w:p>
    <w:p w:rsidR="00221487" w:rsidRPr="00221487" w:rsidRDefault="00221487" w:rsidP="00221487">
      <w:pPr>
        <w:spacing w:after="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2.</w:t>
      </w:r>
      <w:r w:rsidRPr="00221487">
        <w:rPr>
          <w:rFonts w:ascii="Times New Roman" w:eastAsia="Times New Roman" w:hAnsi="Times New Roman" w:cs="Times New Roman"/>
          <w:noProof/>
          <w:lang w:val="sq-AL"/>
        </w:rPr>
        <w:tab/>
        <w:t>Është përgatitur relacioni për transparencën dhe gjithëpërfshirjes e buxhetit;</w:t>
      </w:r>
    </w:p>
    <w:p w:rsidR="00221487" w:rsidRPr="00221487" w:rsidRDefault="00221487" w:rsidP="00221487">
      <w:pPr>
        <w:spacing w:after="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3.</w:t>
      </w:r>
      <w:r w:rsidRPr="00221487">
        <w:rPr>
          <w:rFonts w:ascii="Times New Roman" w:eastAsia="Times New Roman" w:hAnsi="Times New Roman" w:cs="Times New Roman"/>
          <w:noProof/>
          <w:lang w:val="sq-AL"/>
        </w:rPr>
        <w:tab/>
        <w:t xml:space="preserve">Është organizuar trajnimi i OSHC-ve (dhe medias) për të kuptuar LOB dhe evidentuar modalitetet optimale për përfshirjen e tyre në proces;  </w:t>
      </w:r>
    </w:p>
    <w:p w:rsidR="00221487" w:rsidRPr="00221487" w:rsidRDefault="00221487" w:rsidP="00221487">
      <w:pPr>
        <w:spacing w:after="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4.</w:t>
      </w:r>
      <w:r w:rsidRPr="00221487">
        <w:rPr>
          <w:rFonts w:ascii="Times New Roman" w:eastAsia="Times New Roman" w:hAnsi="Times New Roman" w:cs="Times New Roman"/>
          <w:noProof/>
          <w:lang w:val="sq-AL"/>
        </w:rPr>
        <w:tab/>
        <w:t>Evidentimi i hendeqeve ndërmjet zbatimit të LOB dhe pjesëmarrjes së OSHC-ve. Në 20 korrik u mbajt një takim konsultativ i dëgjesës zyrtare për buxhetin, në përputhje me kërkesat e LOB, me 52 pjesëmarrës dhe procesverbali i takimit iu dërgua MFE-së;</w:t>
      </w:r>
    </w:p>
    <w:p w:rsidR="00221487" w:rsidRPr="00221487" w:rsidRDefault="00221487" w:rsidP="00221487">
      <w:pPr>
        <w:spacing w:after="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5.</w:t>
      </w:r>
      <w:r w:rsidRPr="00221487">
        <w:rPr>
          <w:rFonts w:ascii="Times New Roman" w:eastAsia="Times New Roman" w:hAnsi="Times New Roman" w:cs="Times New Roman"/>
          <w:noProof/>
          <w:lang w:val="sq-AL"/>
        </w:rPr>
        <w:tab/>
        <w:t xml:space="preserve">Është asistuar MFE-ja në forcimin e metodologjisë aktuale për prodhimin e buxhetit të qytetarëve, përfshirë përgatitjen e Buxhetit të Qytetarëve 2019; </w:t>
      </w:r>
    </w:p>
    <w:p w:rsidR="00221487" w:rsidRPr="00221487" w:rsidRDefault="00221487" w:rsidP="00221487">
      <w:pPr>
        <w:spacing w:after="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6.</w:t>
      </w:r>
      <w:r w:rsidRPr="00221487">
        <w:rPr>
          <w:rFonts w:ascii="Times New Roman" w:eastAsia="Times New Roman" w:hAnsi="Times New Roman" w:cs="Times New Roman"/>
          <w:noProof/>
          <w:lang w:val="sq-AL"/>
        </w:rPr>
        <w:tab/>
        <w:t xml:space="preserve">Është përgtitur një dokument politike mbi Raportin e Ekzekutimit të Buxhetit Vjetor dhe rekomandimet janë diskutuar me MFE-në; </w:t>
      </w:r>
    </w:p>
    <w:p w:rsidR="00221487" w:rsidRPr="00221487" w:rsidRDefault="00221487" w:rsidP="00221487">
      <w:pPr>
        <w:spacing w:after="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7.</w:t>
      </w:r>
      <w:r w:rsidRPr="00221487">
        <w:rPr>
          <w:rFonts w:ascii="Times New Roman" w:eastAsia="Times New Roman" w:hAnsi="Times New Roman" w:cs="Times New Roman"/>
          <w:noProof/>
          <w:lang w:val="sq-AL"/>
        </w:rPr>
        <w:tab/>
        <w:t xml:space="preserve">Është dhënë asistencë për amendimin e udhëzimeve për raportet periodike të monitorimit të buxhetit; </w:t>
      </w:r>
    </w:p>
    <w:p w:rsidR="00221487" w:rsidRPr="00221487" w:rsidRDefault="00221487" w:rsidP="00221487">
      <w:pPr>
        <w:spacing w:after="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8.</w:t>
      </w:r>
      <w:r w:rsidRPr="00221487">
        <w:rPr>
          <w:rFonts w:ascii="Times New Roman" w:eastAsia="Times New Roman" w:hAnsi="Times New Roman" w:cs="Times New Roman"/>
          <w:noProof/>
          <w:lang w:val="sq-AL"/>
        </w:rPr>
        <w:tab/>
        <w:t xml:space="preserve">Janë ofruar 2 kurse trajnimi 2-ditore për të gjitha ministritë e linjës për përmirësimin e kapaciteteve të raportimit të monitorimit të buxhetit për 140 nëpunës civilë të nivelit B1. </w:t>
      </w:r>
    </w:p>
    <w:p w:rsidR="00221487" w:rsidRPr="00221487" w:rsidRDefault="00221487" w:rsidP="00221487">
      <w:pPr>
        <w:spacing w:after="0"/>
        <w:jc w:val="both"/>
        <w:rPr>
          <w:rFonts w:ascii="Times New Roman" w:eastAsia="Times New Roman" w:hAnsi="Times New Roman" w:cs="Times New Roman"/>
          <w:i/>
          <w:noProof/>
          <w:lang w:val="sq-AL"/>
        </w:rPr>
      </w:pPr>
      <w:r w:rsidRPr="00221487">
        <w:rPr>
          <w:rFonts w:ascii="Times New Roman" w:eastAsia="Times New Roman" w:hAnsi="Times New Roman" w:cs="Times New Roman"/>
          <w:i/>
          <w:noProof/>
          <w:lang w:val="sq-AL"/>
        </w:rPr>
        <w:t>Komponenti 5: Kontrolli i Brendshëm i Financave Publike</w:t>
      </w:r>
    </w:p>
    <w:p w:rsidR="00221487" w:rsidRPr="00221487" w:rsidRDefault="00221487" w:rsidP="00221487">
      <w:pPr>
        <w:spacing w:after="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1.</w:t>
      </w:r>
      <w:r w:rsidRPr="00221487">
        <w:rPr>
          <w:rFonts w:ascii="Times New Roman" w:eastAsia="Times New Roman" w:hAnsi="Times New Roman" w:cs="Times New Roman"/>
          <w:noProof/>
          <w:lang w:val="sq-AL"/>
        </w:rPr>
        <w:tab/>
        <w:t>Janë dhënë propozime për përmirësimin e raportit vjetor të KBFP;</w:t>
      </w:r>
    </w:p>
    <w:p w:rsidR="00221487" w:rsidRPr="00221487" w:rsidRDefault="00221487" w:rsidP="00221487">
      <w:pPr>
        <w:spacing w:after="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2.</w:t>
      </w:r>
      <w:r w:rsidRPr="00221487">
        <w:rPr>
          <w:rFonts w:ascii="Times New Roman" w:eastAsia="Times New Roman" w:hAnsi="Times New Roman" w:cs="Times New Roman"/>
          <w:noProof/>
          <w:lang w:val="sq-AL"/>
        </w:rPr>
        <w:tab/>
        <w:t>Raporti “Analiza e shkaqeve rrënjësore të borxheve të qeverisë shqiptare ” është diskutuar me aktorët kryesorë të MFE dhe është dorëzuar raporti përfundimtar. Është monitoruar gjatë gjithë vitit zbatimi i rekomandimeve të Projektit;</w:t>
      </w:r>
    </w:p>
    <w:p w:rsidR="00221487" w:rsidRPr="00221487" w:rsidRDefault="00221487" w:rsidP="00221487">
      <w:pPr>
        <w:spacing w:after="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3. Roli dhe përgjegjësitë e Sekretariatit të krijuar për të përmirësuar raportin e zbatimit të rekomandimeve të KLSH janë përcaktuar në disa Terma Reference dhe janë diskutuar me përfaqësuesit e KLSH-së dhe MFE-së;</w:t>
      </w:r>
    </w:p>
    <w:p w:rsidR="00221487" w:rsidRPr="00221487" w:rsidRDefault="00221487" w:rsidP="00221487">
      <w:pPr>
        <w:spacing w:after="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4. Është përgatitur një raport mbi efikasitetin dhe efektivitetin e sistemit aktual të monitorimit të KBFP dhe për ta vërtetuar atë është mbajtur një seminar praktik me aktorët kryesorë.</w:t>
      </w:r>
    </w:p>
    <w:p w:rsidR="00221487" w:rsidRPr="00221487" w:rsidRDefault="00221487" w:rsidP="00221487">
      <w:pPr>
        <w:spacing w:after="0"/>
        <w:jc w:val="both"/>
        <w:rPr>
          <w:rFonts w:ascii="Times New Roman" w:eastAsia="Times New Roman" w:hAnsi="Times New Roman" w:cs="Times New Roman"/>
          <w:i/>
          <w:noProof/>
          <w:lang w:val="sq-AL"/>
        </w:rPr>
      </w:pPr>
      <w:r w:rsidRPr="00221487">
        <w:rPr>
          <w:rFonts w:ascii="Times New Roman" w:eastAsia="Times New Roman" w:hAnsi="Times New Roman" w:cs="Times New Roman"/>
          <w:i/>
          <w:noProof/>
          <w:lang w:val="sq-AL"/>
        </w:rPr>
        <w:lastRenderedPageBreak/>
        <w:t>Komponenti 6: Komunikimi dhe Ndërgjegjësimi i Publikut</w:t>
      </w:r>
    </w:p>
    <w:p w:rsidR="00221487" w:rsidRPr="00221487" w:rsidRDefault="00221487" w:rsidP="00221487">
      <w:pPr>
        <w:spacing w:after="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1. Strategjia dhe Plani i Komunikimeve janë ri-hartuar dhe aktualisht janë duke u përfunduar;</w:t>
      </w:r>
    </w:p>
    <w:p w:rsidR="00221487" w:rsidRPr="00221487" w:rsidRDefault="00221487" w:rsidP="00221487">
      <w:pPr>
        <w:spacing w:after="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2. Ndihmë për të forcuar komunikimet e jashtme të MFE përmes një studimi të jashtëm të porositur dhe krijuar në bashkëpunim me RAP;</w:t>
      </w:r>
    </w:p>
    <w:p w:rsidR="00221487" w:rsidRPr="00221487" w:rsidRDefault="00221487" w:rsidP="00221487">
      <w:pPr>
        <w:spacing w:after="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3. Është hartuar dhe ofruar fushata e majit e BE-së .</w:t>
      </w:r>
    </w:p>
    <w:p w:rsidR="00221487" w:rsidRPr="00221487" w:rsidRDefault="00221487" w:rsidP="00221487">
      <w:pPr>
        <w:spacing w:after="0"/>
        <w:jc w:val="both"/>
        <w:rPr>
          <w:rFonts w:ascii="Times New Roman" w:eastAsia="Times New Roman" w:hAnsi="Times New Roman" w:cs="Times New Roman"/>
          <w:noProof/>
          <w:highlight w:val="yellow"/>
          <w:lang w:val="sq-AL"/>
        </w:rPr>
      </w:pPr>
      <w:r w:rsidRPr="00221487">
        <w:rPr>
          <w:rFonts w:ascii="Times New Roman" w:eastAsia="Times New Roman" w:hAnsi="Times New Roman" w:cs="Times New Roman"/>
          <w:noProof/>
          <w:lang w:val="sq-AL"/>
        </w:rPr>
        <w:t>4.Janë prodhuar një sërë materialesh të markuara për MFP (MFE &amp; BE)  përfshirë: prohimin e Broshurës Buxhetore të OSHC (video e animuar); banderolat e reja për seminarët praktikë; tabela me logon e projektit; dhe USB.</w:t>
      </w:r>
    </w:p>
    <w:p w:rsidR="00221487" w:rsidRPr="00221487" w:rsidRDefault="00221487" w:rsidP="00221487">
      <w:pPr>
        <w:spacing w:after="0" w:line="240" w:lineRule="auto"/>
        <w:ind w:left="1"/>
        <w:rPr>
          <w:rFonts w:ascii="Times New Roman" w:eastAsia="Times New Roman" w:hAnsi="Times New Roman" w:cs="Times New Roman"/>
          <w:noProof/>
          <w:lang w:val="sq-AL"/>
        </w:rPr>
      </w:pPr>
    </w:p>
    <w:p w:rsidR="00221487" w:rsidRPr="00221487" w:rsidRDefault="00221487" w:rsidP="00221487">
      <w:pPr>
        <w:spacing w:after="0" w:line="240" w:lineRule="auto"/>
        <w:ind w:left="372"/>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2.2.1.</w:t>
      </w:r>
      <w:r w:rsidRPr="00221487">
        <w:rPr>
          <w:rFonts w:ascii="Arial" w:eastAsia="Arial" w:hAnsi="Arial" w:cs="Arial"/>
          <w:noProof/>
          <w:lang w:val="sq-AL"/>
        </w:rPr>
        <w:t xml:space="preserve"> </w:t>
      </w:r>
      <w:r w:rsidRPr="00221487">
        <w:rPr>
          <w:rFonts w:ascii="Times New Roman" w:eastAsia="Times New Roman" w:hAnsi="Times New Roman" w:cs="Times New Roman"/>
          <w:noProof/>
          <w:lang w:val="sq-AL"/>
        </w:rPr>
        <w:t>Parimet e Administratës Publike, Raporti i monitorimit i SIGMA - s</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Reforma në Administratën Publike (RAP)</w:t>
      </w:r>
      <w:r w:rsidRPr="00221487">
        <w:rPr>
          <w:rFonts w:ascii="Times New Roman" w:eastAsia="Times New Roman" w:hAnsi="Times New Roman" w:cs="Times New Roman"/>
          <w:b/>
          <w:noProof/>
          <w:lang w:val="sq-AL"/>
        </w:rPr>
        <w:t xml:space="preserve"> e Mbështetjes për Përmirësimin e Qeverisjes dhe Menaxhimit </w:t>
      </w:r>
      <w:r w:rsidRPr="00221487">
        <w:rPr>
          <w:rFonts w:ascii="Times New Roman" w:eastAsia="Times New Roman" w:hAnsi="Times New Roman" w:cs="Times New Roman"/>
          <w:noProof/>
          <w:lang w:val="sq-AL"/>
        </w:rPr>
        <w:t>(SIGMA) ndërmorri një Vlerësim për vitin 2018. U zhvilluan dsa takime me koordinatorët përkatës mbi parimet e RAP-it me qëllim shpjegimin e procesit të mbledhjes së të dhënave për parimet që po vl</w:t>
      </w:r>
      <w:r w:rsidR="007808B9">
        <w:rPr>
          <w:rFonts w:ascii="Times New Roman" w:eastAsia="Times New Roman" w:hAnsi="Times New Roman" w:cs="Times New Roman"/>
          <w:noProof/>
          <w:lang w:val="sq-AL"/>
        </w:rPr>
        <w:t>erësohen. U mblodhën të dhënat dhe u përgatit raporti në</w:t>
      </w:r>
      <w:r w:rsidRPr="00221487">
        <w:rPr>
          <w:rFonts w:ascii="Times New Roman" w:eastAsia="Times New Roman" w:hAnsi="Times New Roman" w:cs="Times New Roman"/>
          <w:noProof/>
          <w:lang w:val="sq-AL"/>
        </w:rPr>
        <w:t xml:space="preserve"> janar të vitit 2019, të dhënat e kërkuara po mblidhen dhe raporti po përgatitet. Raporti përfundimtar do të botohet gjatë muajve të ardhshëm. </w:t>
      </w: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keepNext/>
        <w:numPr>
          <w:ilvl w:val="2"/>
          <w:numId w:val="6"/>
        </w:numPr>
        <w:spacing w:after="0" w:line="240" w:lineRule="auto"/>
        <w:ind w:left="990"/>
        <w:jc w:val="both"/>
        <w:outlineLvl w:val="2"/>
        <w:rPr>
          <w:rFonts w:ascii="Times New Roman" w:eastAsia="Times" w:hAnsi="Times New Roman" w:cs="Times New Roman"/>
          <w:noProof/>
          <w:lang w:val="sq-AL"/>
        </w:rPr>
      </w:pPr>
      <w:bookmarkStart w:id="22" w:name="_Toc507758742"/>
      <w:bookmarkStart w:id="23" w:name="_Toc3984454"/>
      <w:r w:rsidRPr="00221487">
        <w:rPr>
          <w:rFonts w:ascii="Times New Roman" w:eastAsia="Times" w:hAnsi="Times New Roman" w:cs="Times New Roman"/>
          <w:noProof/>
          <w:lang w:val="sq-AL"/>
        </w:rPr>
        <w:t>Misioni i shqyrtimit të përputhshmërisë</w:t>
      </w:r>
      <w:bookmarkEnd w:id="22"/>
      <w:bookmarkEnd w:id="23"/>
    </w:p>
    <w:p w:rsidR="00221487" w:rsidRPr="00221487" w:rsidRDefault="00221487" w:rsidP="00221487">
      <w:pPr>
        <w:spacing w:after="0" w:line="240" w:lineRule="auto"/>
        <w:jc w:val="both"/>
        <w:rPr>
          <w:rFonts w:ascii="Times New Roman" w:eastAsia="Times New Roman" w:hAnsi="Times New Roman" w:cs="Times New Roman"/>
          <w:noProof/>
          <w:highlight w:val="yellow"/>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Në kontekstin e Programit të BE-së për Mbështetjen e Buxhetit, gjatë vitit 2018 Delegacioni i BE-së ka autorizuar dy Shqyrtime Përputhshmërie në mbështetje të reformës MFP në Shqipëri</w:t>
      </w:r>
      <w:r w:rsidRPr="00221487">
        <w:rPr>
          <w:rFonts w:ascii="Times New Roman" w:eastAsia="Times New Roman" w:hAnsi="Times New Roman" w:cs="Times New Roman"/>
          <w:noProof/>
          <w:vertAlign w:val="superscript"/>
          <w:lang w:val="sq-AL"/>
        </w:rPr>
        <w:footnoteReference w:id="8"/>
      </w:r>
      <w:r w:rsidRPr="00221487">
        <w:rPr>
          <w:rFonts w:ascii="Times New Roman" w:eastAsia="Times New Roman" w:hAnsi="Times New Roman" w:cs="Times New Roman"/>
          <w:noProof/>
          <w:lang w:val="sq-AL"/>
        </w:rPr>
        <w:t xml:space="preserve">, përkatësisht misionin e tretë dhe të katërt për Shqyrtimin e Përputhshmërisë.  </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Ekipi i Rishikimit të Pajtueshmërisë në misionin e tyre të tretë nga 5-15 Marsi 2018, të mbajtur në Tiranë, bëri një vlerësim përfundimtar, në mënyrë që të verifikojë përpilimin e objektivave të këstit të tretë të ndryshueshëm, sipas Kontratës së Reformës Sektoriale të PFM-së (KRS). Gjatë këtij misioni njësitë përgjegjëse për secilin nga tetë treguesit në bashkëpunim me ekipin e rishikimit të pajtueshmërisë rishikuan treguesit dhe arritën në përfundimin se dy prej tyre duhet të shtyhen për vitin e ardhshëm. Në krahasim me vetëvlerësimin tonë, në të cilin kemi vlerësuar katër nga gjashtë kushte specifike si të Plotësuara, një Jo të plotësuar dhe një Pjesërisht të plotësuar, ekipi i Rishikimit të Pajtueshmërisë raportoi se nga gjashtë tregues specifik katër kushte ishin plotësisht në përputhje, një i plotësuar pjesërisht dhe një kusht Nuk ishte plotësuar.</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Treguesi nr. 7 "</w:t>
      </w:r>
      <w:r w:rsidRPr="00221487">
        <w:rPr>
          <w:rFonts w:ascii="Times New Roman" w:eastAsia="Times New Roman" w:hAnsi="Times New Roman" w:cs="Times New Roman"/>
          <w:i/>
          <w:noProof/>
          <w:lang w:val="sq-AL"/>
        </w:rPr>
        <w:t>Lufta kundër korrupsionit, mashtrimit, konfliktit të interesit</w:t>
      </w:r>
      <w:r w:rsidRPr="00221487">
        <w:rPr>
          <w:rFonts w:ascii="Times New Roman" w:eastAsia="Times New Roman" w:hAnsi="Times New Roman" w:cs="Times New Roman"/>
          <w:noProof/>
          <w:lang w:val="sq-AL"/>
        </w:rPr>
        <w:t>" me objektivin "Rritja vjetore e dënimeve dhe sanksioneve përfundimtare , sipas nenit 257 dhe 257 / a, të Kodit Penal që prej vitit 2016" nuk u Plotësua pasi numri i dënimeve përfundimtare dhe sanksionet sipas neneve 257 dhe 257 / a, të Kodit Penal për vitin 2017 është 13, pra numër më i ulët se sa shifrat e vitit 2016 (20 raste).</w:t>
      </w:r>
    </w:p>
    <w:p w:rsidR="00221487" w:rsidRPr="00221487" w:rsidRDefault="00221487" w:rsidP="00221487">
      <w:pPr>
        <w:spacing w:after="0" w:line="240" w:lineRule="auto"/>
        <w:jc w:val="both"/>
        <w:rPr>
          <w:rFonts w:ascii="Times New Roman" w:eastAsia="Times New Roman" w:hAnsi="Times New Roman" w:cs="Times New Roman"/>
          <w:noProof/>
          <w:highlight w:val="yellow"/>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Tabela: Përputhshmëria dhe disbursimi për kushtet specifike të këstit të tretë</w:t>
      </w:r>
    </w:p>
    <w:tbl>
      <w:tblPr>
        <w:tblStyle w:val="GridTable4-Accent11"/>
        <w:tblW w:w="9535" w:type="dxa"/>
        <w:jc w:val="center"/>
        <w:tblLayout w:type="fixed"/>
        <w:tblLook w:val="04A0" w:firstRow="1" w:lastRow="0" w:firstColumn="1" w:lastColumn="0" w:noHBand="0" w:noVBand="1"/>
      </w:tblPr>
      <w:tblGrid>
        <w:gridCol w:w="236"/>
        <w:gridCol w:w="2948"/>
        <w:gridCol w:w="1041"/>
        <w:gridCol w:w="1440"/>
        <w:gridCol w:w="1869"/>
        <w:gridCol w:w="2001"/>
      </w:tblGrid>
      <w:tr w:rsidR="00221487" w:rsidRPr="00221487" w:rsidTr="004342D7">
        <w:trPr>
          <w:cnfStyle w:val="100000000000" w:firstRow="1" w:lastRow="0" w:firstColumn="0" w:lastColumn="0" w:oddVBand="0" w:evenVBand="0" w:oddHBand="0" w:evenHBand="0" w:firstRowFirstColumn="0" w:firstRowLastColumn="0" w:lastRowFirstColumn="0" w:lastRowLastColumn="0"/>
          <w:trHeight w:val="626"/>
          <w:jc w:val="center"/>
        </w:trPr>
        <w:tc>
          <w:tcPr>
            <w:cnfStyle w:val="001000000000" w:firstRow="0" w:lastRow="0" w:firstColumn="1" w:lastColumn="0" w:oddVBand="0" w:evenVBand="0" w:oddHBand="0" w:evenHBand="0" w:firstRowFirstColumn="0" w:firstRowLastColumn="0" w:lastRowFirstColumn="0" w:lastRowLastColumn="0"/>
            <w:tcW w:w="236" w:type="dxa"/>
          </w:tcPr>
          <w:p w:rsidR="00221487" w:rsidRPr="00221487" w:rsidRDefault="00221487" w:rsidP="00221487">
            <w:pPr>
              <w:jc w:val="both"/>
              <w:rPr>
                <w:rFonts w:eastAsia="Calibri"/>
                <w:noProof/>
                <w:lang w:val="sq-AL"/>
              </w:rPr>
            </w:pPr>
          </w:p>
        </w:tc>
        <w:tc>
          <w:tcPr>
            <w:tcW w:w="2948" w:type="dxa"/>
          </w:tcPr>
          <w:p w:rsidR="00221487" w:rsidRPr="00221487" w:rsidRDefault="00221487" w:rsidP="00221487">
            <w:pPr>
              <w:jc w:val="both"/>
              <w:cnfStyle w:val="100000000000" w:firstRow="1" w:lastRow="0" w:firstColumn="0" w:lastColumn="0" w:oddVBand="0" w:evenVBand="0" w:oddHBand="0" w:evenHBand="0" w:firstRowFirstColumn="0" w:firstRowLastColumn="0" w:lastRowFirstColumn="0" w:lastRowLastColumn="0"/>
              <w:rPr>
                <w:rFonts w:eastAsia="Calibri"/>
                <w:noProof/>
                <w:lang w:val="sq-AL"/>
              </w:rPr>
            </w:pPr>
          </w:p>
        </w:tc>
        <w:tc>
          <w:tcPr>
            <w:tcW w:w="1041" w:type="dxa"/>
          </w:tcPr>
          <w:p w:rsidR="00221487" w:rsidRPr="00221487" w:rsidRDefault="00221487" w:rsidP="00221487">
            <w:pPr>
              <w:jc w:val="center"/>
              <w:cnfStyle w:val="100000000000" w:firstRow="1" w:lastRow="0" w:firstColumn="0" w:lastColumn="0" w:oddVBand="0" w:evenVBand="0" w:oddHBand="0" w:evenHBand="0" w:firstRowFirstColumn="0" w:firstRowLastColumn="0" w:lastRowFirstColumn="0" w:lastRowLastColumn="0"/>
              <w:rPr>
                <w:rFonts w:eastAsia="Calibri"/>
                <w:noProof/>
                <w:lang w:val="sq-AL"/>
              </w:rPr>
            </w:pPr>
            <w:r w:rsidRPr="00221487">
              <w:rPr>
                <w:rFonts w:eastAsia="Calibri"/>
                <w:noProof/>
                <w:lang w:val="sq-AL"/>
              </w:rPr>
              <w:t>Pesha</w:t>
            </w:r>
          </w:p>
        </w:tc>
        <w:tc>
          <w:tcPr>
            <w:tcW w:w="1440" w:type="dxa"/>
          </w:tcPr>
          <w:p w:rsidR="00221487" w:rsidRPr="00221487" w:rsidRDefault="00221487" w:rsidP="00221487">
            <w:pPr>
              <w:jc w:val="both"/>
              <w:cnfStyle w:val="100000000000" w:firstRow="1" w:lastRow="0" w:firstColumn="0" w:lastColumn="0" w:oddVBand="0" w:evenVBand="0" w:oddHBand="0" w:evenHBand="0" w:firstRowFirstColumn="0" w:firstRowLastColumn="0" w:lastRowFirstColumn="0" w:lastRowLastColumn="0"/>
              <w:rPr>
                <w:rFonts w:eastAsia="Calibri"/>
                <w:noProof/>
                <w:lang w:val="sq-AL"/>
              </w:rPr>
            </w:pPr>
            <w:r w:rsidRPr="00221487">
              <w:rPr>
                <w:rFonts w:eastAsia="Calibri"/>
                <w:noProof/>
                <w:lang w:val="sq-AL"/>
              </w:rPr>
              <w:t xml:space="preserve">Shuma e </w:t>
            </w:r>
            <w:r w:rsidR="000F2F95">
              <w:rPr>
                <w:rFonts w:eastAsia="Calibri"/>
                <w:noProof/>
                <w:lang w:val="sq-AL"/>
              </w:rPr>
              <w:t>transhit</w:t>
            </w:r>
            <w:r w:rsidRPr="00221487">
              <w:rPr>
                <w:rFonts w:eastAsia="Calibri"/>
                <w:noProof/>
                <w:lang w:val="sq-AL"/>
              </w:rPr>
              <w:t xml:space="preserve"> të tretë në euro</w:t>
            </w:r>
          </w:p>
        </w:tc>
        <w:tc>
          <w:tcPr>
            <w:tcW w:w="1869" w:type="dxa"/>
          </w:tcPr>
          <w:p w:rsidR="00221487" w:rsidRPr="00221487" w:rsidRDefault="00221487" w:rsidP="00221487">
            <w:pPr>
              <w:jc w:val="center"/>
              <w:cnfStyle w:val="100000000000" w:firstRow="1" w:lastRow="0" w:firstColumn="0" w:lastColumn="0" w:oddVBand="0" w:evenVBand="0" w:oddHBand="0" w:evenHBand="0" w:firstRowFirstColumn="0" w:firstRowLastColumn="0" w:lastRowFirstColumn="0" w:lastRowLastColumn="0"/>
              <w:rPr>
                <w:rFonts w:eastAsia="Calibri"/>
                <w:noProof/>
                <w:lang w:val="sq-AL"/>
              </w:rPr>
            </w:pPr>
            <w:r w:rsidRPr="00221487">
              <w:rPr>
                <w:rFonts w:eastAsia="Calibri"/>
                <w:noProof/>
                <w:lang w:val="sq-AL"/>
              </w:rPr>
              <w:t>Statusi</w:t>
            </w:r>
          </w:p>
          <w:p w:rsidR="00221487" w:rsidRPr="00221487" w:rsidRDefault="00221487" w:rsidP="00221487">
            <w:pPr>
              <w:jc w:val="center"/>
              <w:cnfStyle w:val="100000000000" w:firstRow="1" w:lastRow="0" w:firstColumn="0" w:lastColumn="0" w:oddVBand="0" w:evenVBand="0" w:oddHBand="0" w:evenHBand="0" w:firstRowFirstColumn="0" w:firstRowLastColumn="0" w:lastRowFirstColumn="0" w:lastRowLastColumn="0"/>
              <w:rPr>
                <w:rFonts w:eastAsia="Calibri"/>
                <w:noProof/>
                <w:lang w:val="sq-AL"/>
              </w:rPr>
            </w:pPr>
          </w:p>
        </w:tc>
        <w:tc>
          <w:tcPr>
            <w:tcW w:w="2001" w:type="dxa"/>
          </w:tcPr>
          <w:p w:rsidR="00221487" w:rsidRPr="00221487" w:rsidRDefault="00221487" w:rsidP="00221487">
            <w:pPr>
              <w:jc w:val="center"/>
              <w:cnfStyle w:val="100000000000" w:firstRow="1" w:lastRow="0" w:firstColumn="0" w:lastColumn="0" w:oddVBand="0" w:evenVBand="0" w:oddHBand="0" w:evenHBand="0" w:firstRowFirstColumn="0" w:firstRowLastColumn="0" w:lastRowFirstColumn="0" w:lastRowLastColumn="0"/>
              <w:rPr>
                <w:rFonts w:eastAsia="Calibri"/>
                <w:noProof/>
                <w:lang w:val="sq-AL"/>
              </w:rPr>
            </w:pPr>
            <w:r w:rsidRPr="00221487">
              <w:rPr>
                <w:rFonts w:eastAsia="Calibri"/>
                <w:noProof/>
                <w:lang w:val="sq-AL"/>
              </w:rPr>
              <w:t xml:space="preserve">€ të disbursuara </w:t>
            </w:r>
          </w:p>
        </w:tc>
      </w:tr>
      <w:tr w:rsidR="00221487" w:rsidRPr="00221487" w:rsidTr="004342D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84" w:type="dxa"/>
            <w:gridSpan w:val="2"/>
          </w:tcPr>
          <w:p w:rsidR="00221487" w:rsidRPr="00221487" w:rsidRDefault="000F2F95" w:rsidP="00221487">
            <w:pPr>
              <w:jc w:val="both"/>
              <w:rPr>
                <w:rFonts w:eastAsia="Calibri"/>
                <w:noProof/>
                <w:lang w:val="sq-AL"/>
              </w:rPr>
            </w:pPr>
            <w:r>
              <w:rPr>
                <w:rFonts w:eastAsia="Calibri"/>
                <w:noProof/>
                <w:lang w:val="sq-AL"/>
              </w:rPr>
              <w:t>Transhet</w:t>
            </w:r>
            <w:r w:rsidR="00221487" w:rsidRPr="00221487">
              <w:rPr>
                <w:rFonts w:eastAsia="Calibri"/>
                <w:noProof/>
                <w:lang w:val="sq-AL"/>
              </w:rPr>
              <w:t xml:space="preserve"> variabël</w:t>
            </w:r>
          </w:p>
        </w:tc>
        <w:tc>
          <w:tcPr>
            <w:tcW w:w="1041" w:type="dxa"/>
          </w:tcPr>
          <w:p w:rsidR="00221487" w:rsidRPr="00221487" w:rsidRDefault="00221487" w:rsidP="00221487">
            <w:pPr>
              <w:jc w:val="both"/>
              <w:cnfStyle w:val="000000100000" w:firstRow="0" w:lastRow="0" w:firstColumn="0" w:lastColumn="0" w:oddVBand="0" w:evenVBand="0" w:oddHBand="1" w:evenHBand="0" w:firstRowFirstColumn="0" w:firstRowLastColumn="0" w:lastRowFirstColumn="0" w:lastRowLastColumn="0"/>
              <w:rPr>
                <w:rFonts w:eastAsia="Calibri"/>
                <w:noProof/>
                <w:lang w:val="sq-AL"/>
              </w:rPr>
            </w:pPr>
          </w:p>
        </w:tc>
        <w:tc>
          <w:tcPr>
            <w:tcW w:w="1440" w:type="dxa"/>
          </w:tcPr>
          <w:p w:rsidR="00221487" w:rsidRPr="00221487" w:rsidRDefault="00221487" w:rsidP="00221487">
            <w:pPr>
              <w:jc w:val="right"/>
              <w:cnfStyle w:val="000000100000" w:firstRow="0" w:lastRow="0" w:firstColumn="0" w:lastColumn="0" w:oddVBand="0" w:evenVBand="0" w:oddHBand="1" w:evenHBand="0" w:firstRowFirstColumn="0" w:firstRowLastColumn="0" w:lastRowFirstColumn="0" w:lastRowLastColumn="0"/>
              <w:rPr>
                <w:rFonts w:eastAsia="Calibri"/>
                <w:noProof/>
                <w:lang w:val="sq-AL"/>
              </w:rPr>
            </w:pPr>
            <w:r w:rsidRPr="00221487">
              <w:rPr>
                <w:rFonts w:eastAsia="Calibri"/>
                <w:noProof/>
                <w:lang w:val="sq-AL"/>
              </w:rPr>
              <w:t>10,000,000</w:t>
            </w:r>
          </w:p>
        </w:tc>
        <w:tc>
          <w:tcPr>
            <w:tcW w:w="1869" w:type="dxa"/>
          </w:tcPr>
          <w:p w:rsidR="00221487" w:rsidRPr="00221487" w:rsidRDefault="00221487" w:rsidP="00221487">
            <w:pPr>
              <w:jc w:val="both"/>
              <w:cnfStyle w:val="000000100000" w:firstRow="0" w:lastRow="0" w:firstColumn="0" w:lastColumn="0" w:oddVBand="0" w:evenVBand="0" w:oddHBand="1" w:evenHBand="0" w:firstRowFirstColumn="0" w:firstRowLastColumn="0" w:lastRowFirstColumn="0" w:lastRowLastColumn="0"/>
              <w:rPr>
                <w:rFonts w:eastAsia="Calibri"/>
                <w:noProof/>
                <w:lang w:val="sq-AL"/>
              </w:rPr>
            </w:pPr>
          </w:p>
        </w:tc>
        <w:tc>
          <w:tcPr>
            <w:tcW w:w="2001" w:type="dxa"/>
          </w:tcPr>
          <w:p w:rsidR="00221487" w:rsidRPr="00221487" w:rsidRDefault="00221487" w:rsidP="00221487">
            <w:pPr>
              <w:jc w:val="both"/>
              <w:cnfStyle w:val="000000100000" w:firstRow="0" w:lastRow="0" w:firstColumn="0" w:lastColumn="0" w:oddVBand="0" w:evenVBand="0" w:oddHBand="1" w:evenHBand="0" w:firstRowFirstColumn="0" w:firstRowLastColumn="0" w:lastRowFirstColumn="0" w:lastRowLastColumn="0"/>
              <w:rPr>
                <w:rFonts w:eastAsia="Calibri"/>
                <w:noProof/>
                <w:lang w:val="sq-AL"/>
              </w:rPr>
            </w:pPr>
          </w:p>
        </w:tc>
      </w:tr>
      <w:tr w:rsidR="00221487" w:rsidRPr="00221487" w:rsidTr="004342D7">
        <w:trPr>
          <w:jc w:val="center"/>
        </w:trPr>
        <w:tc>
          <w:tcPr>
            <w:cnfStyle w:val="001000000000" w:firstRow="0" w:lastRow="0" w:firstColumn="1" w:lastColumn="0" w:oddVBand="0" w:evenVBand="0" w:oddHBand="0" w:evenHBand="0" w:firstRowFirstColumn="0" w:firstRowLastColumn="0" w:lastRowFirstColumn="0" w:lastRowLastColumn="0"/>
            <w:tcW w:w="236" w:type="dxa"/>
          </w:tcPr>
          <w:p w:rsidR="00221487" w:rsidRPr="00221487" w:rsidRDefault="00221487" w:rsidP="00221487">
            <w:pPr>
              <w:jc w:val="both"/>
              <w:rPr>
                <w:rFonts w:eastAsia="Calibri"/>
                <w:noProof/>
                <w:lang w:val="sq-AL"/>
              </w:rPr>
            </w:pPr>
            <w:r w:rsidRPr="00221487">
              <w:rPr>
                <w:rFonts w:eastAsia="Calibri"/>
                <w:noProof/>
                <w:lang w:val="sq-AL"/>
              </w:rPr>
              <w:t>1</w:t>
            </w:r>
          </w:p>
        </w:tc>
        <w:tc>
          <w:tcPr>
            <w:tcW w:w="2948" w:type="dxa"/>
          </w:tcPr>
          <w:p w:rsidR="00221487" w:rsidRPr="00221487" w:rsidRDefault="00221487" w:rsidP="00221487">
            <w:pPr>
              <w:jc w:val="both"/>
              <w:cnfStyle w:val="000000000000" w:firstRow="0" w:lastRow="0" w:firstColumn="0" w:lastColumn="0" w:oddVBand="0" w:evenVBand="0" w:oddHBand="0" w:evenHBand="0" w:firstRowFirstColumn="0" w:firstRowLastColumn="0" w:lastRowFirstColumn="0" w:lastRowLastColumn="0"/>
              <w:rPr>
                <w:rFonts w:eastAsia="Calibri"/>
                <w:noProof/>
                <w:lang w:val="sq-AL"/>
              </w:rPr>
            </w:pPr>
            <w:r w:rsidRPr="00221487">
              <w:rPr>
                <w:rFonts w:eastAsia="Calibri"/>
                <w:noProof/>
                <w:lang w:val="sq-AL"/>
              </w:rPr>
              <w:t xml:space="preserve">Kuadër ligjor e fiskal i përmirësuar </w:t>
            </w:r>
          </w:p>
        </w:tc>
        <w:tc>
          <w:tcPr>
            <w:tcW w:w="1041" w:type="dxa"/>
          </w:tcPr>
          <w:p w:rsidR="00221487" w:rsidRPr="00221487" w:rsidRDefault="00221487" w:rsidP="00221487">
            <w:pPr>
              <w:jc w:val="both"/>
              <w:cnfStyle w:val="000000000000" w:firstRow="0" w:lastRow="0" w:firstColumn="0" w:lastColumn="0" w:oddVBand="0" w:evenVBand="0" w:oddHBand="0" w:evenHBand="0" w:firstRowFirstColumn="0" w:firstRowLastColumn="0" w:lastRowFirstColumn="0" w:lastRowLastColumn="0"/>
              <w:rPr>
                <w:rFonts w:eastAsia="Calibri"/>
                <w:noProof/>
                <w:lang w:val="sq-AL"/>
              </w:rPr>
            </w:pPr>
            <w:r w:rsidRPr="00221487">
              <w:rPr>
                <w:rFonts w:eastAsia="Calibri"/>
                <w:noProof/>
                <w:lang w:val="sq-AL"/>
              </w:rPr>
              <w:t>12.5%</w:t>
            </w:r>
          </w:p>
        </w:tc>
        <w:tc>
          <w:tcPr>
            <w:tcW w:w="1440" w:type="dxa"/>
          </w:tcPr>
          <w:p w:rsidR="00221487" w:rsidRPr="00221487" w:rsidRDefault="00221487" w:rsidP="00221487">
            <w:pPr>
              <w:jc w:val="right"/>
              <w:cnfStyle w:val="000000000000" w:firstRow="0" w:lastRow="0" w:firstColumn="0" w:lastColumn="0" w:oddVBand="0" w:evenVBand="0" w:oddHBand="0" w:evenHBand="0" w:firstRowFirstColumn="0" w:firstRowLastColumn="0" w:lastRowFirstColumn="0" w:lastRowLastColumn="0"/>
              <w:rPr>
                <w:rFonts w:eastAsia="Calibri"/>
                <w:noProof/>
                <w:lang w:val="sq-AL"/>
              </w:rPr>
            </w:pPr>
            <w:r w:rsidRPr="00221487">
              <w:rPr>
                <w:rFonts w:eastAsia="Calibri"/>
                <w:noProof/>
                <w:lang w:val="sq-AL"/>
              </w:rPr>
              <w:t>1,250,000</w:t>
            </w:r>
          </w:p>
        </w:tc>
        <w:tc>
          <w:tcPr>
            <w:tcW w:w="1869" w:type="dxa"/>
          </w:tcPr>
          <w:p w:rsidR="00221487" w:rsidRPr="00221487" w:rsidRDefault="00221487" w:rsidP="00221487">
            <w:pPr>
              <w:jc w:val="both"/>
              <w:cnfStyle w:val="000000000000" w:firstRow="0" w:lastRow="0" w:firstColumn="0" w:lastColumn="0" w:oddVBand="0" w:evenVBand="0" w:oddHBand="0" w:evenHBand="0" w:firstRowFirstColumn="0" w:firstRowLastColumn="0" w:lastRowFirstColumn="0" w:lastRowLastColumn="0"/>
              <w:rPr>
                <w:rFonts w:eastAsia="Calibri"/>
                <w:noProof/>
                <w:lang w:val="sq-AL"/>
              </w:rPr>
            </w:pPr>
            <w:r w:rsidRPr="00221487">
              <w:rPr>
                <w:rFonts w:eastAsia="Calibri"/>
                <w:noProof/>
                <w:lang w:val="sq-AL"/>
              </w:rPr>
              <w:t>Plotësuar</w:t>
            </w:r>
          </w:p>
        </w:tc>
        <w:tc>
          <w:tcPr>
            <w:tcW w:w="2001" w:type="dxa"/>
          </w:tcPr>
          <w:p w:rsidR="00221487" w:rsidRPr="00221487" w:rsidRDefault="00221487" w:rsidP="00221487">
            <w:pPr>
              <w:jc w:val="right"/>
              <w:cnfStyle w:val="000000000000" w:firstRow="0" w:lastRow="0" w:firstColumn="0" w:lastColumn="0" w:oddVBand="0" w:evenVBand="0" w:oddHBand="0" w:evenHBand="0" w:firstRowFirstColumn="0" w:firstRowLastColumn="0" w:lastRowFirstColumn="0" w:lastRowLastColumn="0"/>
              <w:rPr>
                <w:rFonts w:eastAsia="Calibri"/>
                <w:noProof/>
                <w:lang w:val="sq-AL"/>
              </w:rPr>
            </w:pPr>
            <w:r w:rsidRPr="00221487">
              <w:rPr>
                <w:rFonts w:eastAsia="Calibri"/>
                <w:noProof/>
                <w:lang w:val="sq-AL"/>
              </w:rPr>
              <w:t>1,250,000</w:t>
            </w:r>
          </w:p>
        </w:tc>
      </w:tr>
      <w:tr w:rsidR="00221487" w:rsidRPr="00221487" w:rsidTr="004342D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6" w:type="dxa"/>
          </w:tcPr>
          <w:p w:rsidR="00221487" w:rsidRPr="00221487" w:rsidRDefault="00221487" w:rsidP="00221487">
            <w:pPr>
              <w:jc w:val="both"/>
              <w:rPr>
                <w:rFonts w:eastAsia="Calibri"/>
                <w:noProof/>
                <w:lang w:val="sq-AL"/>
              </w:rPr>
            </w:pPr>
            <w:r w:rsidRPr="00221487">
              <w:rPr>
                <w:rFonts w:eastAsia="Calibri"/>
                <w:noProof/>
                <w:lang w:val="sq-AL"/>
              </w:rPr>
              <w:t>2</w:t>
            </w:r>
          </w:p>
        </w:tc>
        <w:tc>
          <w:tcPr>
            <w:tcW w:w="2948" w:type="dxa"/>
          </w:tcPr>
          <w:p w:rsidR="00221487" w:rsidRPr="00221487" w:rsidRDefault="00221487" w:rsidP="00221487">
            <w:pPr>
              <w:jc w:val="both"/>
              <w:cnfStyle w:val="000000100000" w:firstRow="0" w:lastRow="0" w:firstColumn="0" w:lastColumn="0" w:oddVBand="0" w:evenVBand="0" w:oddHBand="1" w:evenHBand="0" w:firstRowFirstColumn="0" w:firstRowLastColumn="0" w:lastRowFirstColumn="0" w:lastRowLastColumn="0"/>
              <w:rPr>
                <w:rFonts w:eastAsia="Calibri"/>
                <w:noProof/>
                <w:lang w:val="sq-AL"/>
              </w:rPr>
            </w:pPr>
            <w:r w:rsidRPr="00221487">
              <w:rPr>
                <w:rFonts w:eastAsia="Calibri"/>
                <w:noProof/>
                <w:lang w:val="sq-AL"/>
              </w:rPr>
              <w:t>Planifikim dhe buxhetim i shpenzimeve publike i përmirësuar</w:t>
            </w:r>
          </w:p>
        </w:tc>
        <w:tc>
          <w:tcPr>
            <w:tcW w:w="1041" w:type="dxa"/>
          </w:tcPr>
          <w:p w:rsidR="00221487" w:rsidRPr="00221487" w:rsidRDefault="00221487" w:rsidP="00221487">
            <w:pPr>
              <w:jc w:val="both"/>
              <w:cnfStyle w:val="000000100000" w:firstRow="0" w:lastRow="0" w:firstColumn="0" w:lastColumn="0" w:oddVBand="0" w:evenVBand="0" w:oddHBand="1" w:evenHBand="0" w:firstRowFirstColumn="0" w:firstRowLastColumn="0" w:lastRowFirstColumn="0" w:lastRowLastColumn="0"/>
              <w:rPr>
                <w:rFonts w:eastAsia="Calibri"/>
                <w:noProof/>
                <w:lang w:val="sq-AL"/>
              </w:rPr>
            </w:pPr>
            <w:r w:rsidRPr="00221487">
              <w:rPr>
                <w:rFonts w:eastAsia="Calibri"/>
                <w:noProof/>
                <w:lang w:val="sq-AL"/>
              </w:rPr>
              <w:t>12.5%</w:t>
            </w:r>
          </w:p>
        </w:tc>
        <w:tc>
          <w:tcPr>
            <w:tcW w:w="1440" w:type="dxa"/>
          </w:tcPr>
          <w:p w:rsidR="00221487" w:rsidRPr="00221487" w:rsidRDefault="00221487" w:rsidP="00221487">
            <w:pPr>
              <w:jc w:val="right"/>
              <w:cnfStyle w:val="000000100000" w:firstRow="0" w:lastRow="0" w:firstColumn="0" w:lastColumn="0" w:oddVBand="0" w:evenVBand="0" w:oddHBand="1" w:evenHBand="0" w:firstRowFirstColumn="0" w:firstRowLastColumn="0" w:lastRowFirstColumn="0" w:lastRowLastColumn="0"/>
              <w:rPr>
                <w:rFonts w:eastAsia="Calibri"/>
                <w:noProof/>
                <w:lang w:val="sq-AL"/>
              </w:rPr>
            </w:pPr>
            <w:r w:rsidRPr="00221487">
              <w:rPr>
                <w:rFonts w:eastAsia="Calibri"/>
                <w:noProof/>
                <w:lang w:val="sq-AL"/>
              </w:rPr>
              <w:t>1,250,000</w:t>
            </w:r>
          </w:p>
        </w:tc>
        <w:tc>
          <w:tcPr>
            <w:tcW w:w="1869" w:type="dxa"/>
          </w:tcPr>
          <w:p w:rsidR="00221487" w:rsidRPr="00221487" w:rsidRDefault="00221487" w:rsidP="00221487">
            <w:pPr>
              <w:jc w:val="both"/>
              <w:cnfStyle w:val="000000100000" w:firstRow="0" w:lastRow="0" w:firstColumn="0" w:lastColumn="0" w:oddVBand="0" w:evenVBand="0" w:oddHBand="1" w:evenHBand="0" w:firstRowFirstColumn="0" w:firstRowLastColumn="0" w:lastRowFirstColumn="0" w:lastRowLastColumn="0"/>
              <w:rPr>
                <w:rFonts w:eastAsia="Calibri"/>
                <w:noProof/>
                <w:lang w:val="sq-AL"/>
              </w:rPr>
            </w:pPr>
            <w:r w:rsidRPr="00221487">
              <w:rPr>
                <w:rFonts w:eastAsia="Calibri"/>
                <w:noProof/>
                <w:lang w:val="sq-AL"/>
              </w:rPr>
              <w:t>Plotësuar</w:t>
            </w:r>
          </w:p>
        </w:tc>
        <w:tc>
          <w:tcPr>
            <w:tcW w:w="2001" w:type="dxa"/>
          </w:tcPr>
          <w:p w:rsidR="00221487" w:rsidRPr="00221487" w:rsidRDefault="00221487" w:rsidP="00221487">
            <w:pPr>
              <w:jc w:val="right"/>
              <w:cnfStyle w:val="000000100000" w:firstRow="0" w:lastRow="0" w:firstColumn="0" w:lastColumn="0" w:oddVBand="0" w:evenVBand="0" w:oddHBand="1" w:evenHBand="0" w:firstRowFirstColumn="0" w:firstRowLastColumn="0" w:lastRowFirstColumn="0" w:lastRowLastColumn="0"/>
              <w:rPr>
                <w:rFonts w:eastAsia="Calibri"/>
                <w:noProof/>
                <w:lang w:val="sq-AL"/>
              </w:rPr>
            </w:pPr>
            <w:r w:rsidRPr="00221487">
              <w:rPr>
                <w:rFonts w:eastAsia="Calibri"/>
                <w:noProof/>
                <w:lang w:val="sq-AL"/>
              </w:rPr>
              <w:t>1,250,000</w:t>
            </w:r>
          </w:p>
        </w:tc>
      </w:tr>
      <w:tr w:rsidR="00221487" w:rsidRPr="00221487" w:rsidTr="004342D7">
        <w:trPr>
          <w:jc w:val="center"/>
        </w:trPr>
        <w:tc>
          <w:tcPr>
            <w:cnfStyle w:val="001000000000" w:firstRow="0" w:lastRow="0" w:firstColumn="1" w:lastColumn="0" w:oddVBand="0" w:evenVBand="0" w:oddHBand="0" w:evenHBand="0" w:firstRowFirstColumn="0" w:firstRowLastColumn="0" w:lastRowFirstColumn="0" w:lastRowLastColumn="0"/>
            <w:tcW w:w="236" w:type="dxa"/>
          </w:tcPr>
          <w:p w:rsidR="00221487" w:rsidRPr="00221487" w:rsidRDefault="00221487" w:rsidP="00221487">
            <w:pPr>
              <w:jc w:val="both"/>
              <w:rPr>
                <w:rFonts w:eastAsia="Calibri"/>
                <w:noProof/>
                <w:lang w:val="sq-AL"/>
              </w:rPr>
            </w:pPr>
            <w:r w:rsidRPr="00221487">
              <w:rPr>
                <w:rFonts w:eastAsia="Calibri"/>
                <w:noProof/>
                <w:lang w:val="sq-AL"/>
              </w:rPr>
              <w:t>3</w:t>
            </w:r>
          </w:p>
        </w:tc>
        <w:tc>
          <w:tcPr>
            <w:tcW w:w="2948" w:type="dxa"/>
          </w:tcPr>
          <w:p w:rsidR="00221487" w:rsidRPr="00221487" w:rsidRDefault="00221487" w:rsidP="00221487">
            <w:pPr>
              <w:jc w:val="both"/>
              <w:cnfStyle w:val="000000000000" w:firstRow="0" w:lastRow="0" w:firstColumn="0" w:lastColumn="0" w:oddVBand="0" w:evenVBand="0" w:oddHBand="0" w:evenHBand="0" w:firstRowFirstColumn="0" w:firstRowLastColumn="0" w:lastRowFirstColumn="0" w:lastRowLastColumn="0"/>
              <w:rPr>
                <w:rFonts w:eastAsia="Calibri"/>
                <w:noProof/>
                <w:lang w:val="sq-AL"/>
              </w:rPr>
            </w:pPr>
            <w:r w:rsidRPr="00221487">
              <w:rPr>
                <w:rFonts w:eastAsia="Calibri"/>
                <w:noProof/>
                <w:lang w:val="sq-AL"/>
              </w:rPr>
              <w:t>Kontroll i përforcuar i shpenzimeve</w:t>
            </w:r>
          </w:p>
        </w:tc>
        <w:tc>
          <w:tcPr>
            <w:tcW w:w="1041" w:type="dxa"/>
          </w:tcPr>
          <w:p w:rsidR="00221487" w:rsidRPr="00221487" w:rsidRDefault="00221487" w:rsidP="00221487">
            <w:pPr>
              <w:jc w:val="both"/>
              <w:cnfStyle w:val="000000000000" w:firstRow="0" w:lastRow="0" w:firstColumn="0" w:lastColumn="0" w:oddVBand="0" w:evenVBand="0" w:oddHBand="0" w:evenHBand="0" w:firstRowFirstColumn="0" w:firstRowLastColumn="0" w:lastRowFirstColumn="0" w:lastRowLastColumn="0"/>
              <w:rPr>
                <w:rFonts w:eastAsia="Calibri"/>
                <w:noProof/>
                <w:lang w:val="sq-AL"/>
              </w:rPr>
            </w:pPr>
            <w:r w:rsidRPr="00221487">
              <w:rPr>
                <w:rFonts w:eastAsia="Calibri"/>
                <w:noProof/>
                <w:lang w:val="sq-AL"/>
              </w:rPr>
              <w:t>12.5%</w:t>
            </w:r>
          </w:p>
        </w:tc>
        <w:tc>
          <w:tcPr>
            <w:tcW w:w="1440" w:type="dxa"/>
          </w:tcPr>
          <w:p w:rsidR="00221487" w:rsidRPr="00221487" w:rsidRDefault="00221487" w:rsidP="00221487">
            <w:pPr>
              <w:jc w:val="right"/>
              <w:cnfStyle w:val="000000000000" w:firstRow="0" w:lastRow="0" w:firstColumn="0" w:lastColumn="0" w:oddVBand="0" w:evenVBand="0" w:oddHBand="0" w:evenHBand="0" w:firstRowFirstColumn="0" w:firstRowLastColumn="0" w:lastRowFirstColumn="0" w:lastRowLastColumn="0"/>
              <w:rPr>
                <w:rFonts w:eastAsia="Calibri"/>
                <w:noProof/>
                <w:lang w:val="sq-AL"/>
              </w:rPr>
            </w:pPr>
            <w:r w:rsidRPr="00221487">
              <w:rPr>
                <w:rFonts w:eastAsia="Calibri"/>
                <w:noProof/>
                <w:lang w:val="sq-AL"/>
              </w:rPr>
              <w:t>1,250,000</w:t>
            </w:r>
          </w:p>
        </w:tc>
        <w:tc>
          <w:tcPr>
            <w:tcW w:w="1869" w:type="dxa"/>
          </w:tcPr>
          <w:p w:rsidR="00221487" w:rsidRPr="00221487" w:rsidRDefault="00221487" w:rsidP="00221487">
            <w:pPr>
              <w:jc w:val="both"/>
              <w:cnfStyle w:val="000000000000" w:firstRow="0" w:lastRow="0" w:firstColumn="0" w:lastColumn="0" w:oddVBand="0" w:evenVBand="0" w:oddHBand="0" w:evenHBand="0" w:firstRowFirstColumn="0" w:firstRowLastColumn="0" w:lastRowFirstColumn="0" w:lastRowLastColumn="0"/>
              <w:rPr>
                <w:rFonts w:eastAsia="Calibri"/>
                <w:noProof/>
                <w:lang w:val="sq-AL"/>
              </w:rPr>
            </w:pPr>
            <w:r w:rsidRPr="00221487">
              <w:rPr>
                <w:rFonts w:eastAsia="Calibri"/>
                <w:noProof/>
                <w:lang w:val="sq-AL"/>
              </w:rPr>
              <w:t>Plotësuar pjesërisht</w:t>
            </w:r>
          </w:p>
        </w:tc>
        <w:tc>
          <w:tcPr>
            <w:tcW w:w="2001" w:type="dxa"/>
          </w:tcPr>
          <w:p w:rsidR="00221487" w:rsidRPr="00221487" w:rsidRDefault="00221487" w:rsidP="00221487">
            <w:pPr>
              <w:jc w:val="right"/>
              <w:cnfStyle w:val="000000000000" w:firstRow="0" w:lastRow="0" w:firstColumn="0" w:lastColumn="0" w:oddVBand="0" w:evenVBand="0" w:oddHBand="0" w:evenHBand="0" w:firstRowFirstColumn="0" w:firstRowLastColumn="0" w:lastRowFirstColumn="0" w:lastRowLastColumn="0"/>
              <w:rPr>
                <w:rFonts w:eastAsia="Calibri"/>
                <w:noProof/>
                <w:lang w:val="sq-AL"/>
              </w:rPr>
            </w:pPr>
            <w:r w:rsidRPr="00221487">
              <w:rPr>
                <w:rFonts w:eastAsia="Calibri"/>
                <w:noProof/>
                <w:lang w:val="sq-AL"/>
              </w:rPr>
              <w:t>625,000</w:t>
            </w:r>
          </w:p>
        </w:tc>
      </w:tr>
      <w:tr w:rsidR="00221487" w:rsidRPr="00221487" w:rsidTr="004342D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6" w:type="dxa"/>
          </w:tcPr>
          <w:p w:rsidR="00221487" w:rsidRPr="00221487" w:rsidRDefault="00221487" w:rsidP="00221487">
            <w:pPr>
              <w:jc w:val="both"/>
              <w:rPr>
                <w:rFonts w:eastAsia="Calibri"/>
                <w:noProof/>
                <w:lang w:val="sq-AL"/>
              </w:rPr>
            </w:pPr>
            <w:r w:rsidRPr="00221487">
              <w:rPr>
                <w:rFonts w:eastAsia="Calibri"/>
                <w:noProof/>
                <w:lang w:val="sq-AL"/>
              </w:rPr>
              <w:t>4</w:t>
            </w:r>
          </w:p>
        </w:tc>
        <w:tc>
          <w:tcPr>
            <w:tcW w:w="2948" w:type="dxa"/>
          </w:tcPr>
          <w:p w:rsidR="00221487" w:rsidRPr="00221487" w:rsidRDefault="00221487" w:rsidP="00221487">
            <w:pPr>
              <w:jc w:val="both"/>
              <w:cnfStyle w:val="000000100000" w:firstRow="0" w:lastRow="0" w:firstColumn="0" w:lastColumn="0" w:oddVBand="0" w:evenVBand="0" w:oddHBand="1" w:evenHBand="0" w:firstRowFirstColumn="0" w:firstRowLastColumn="0" w:lastRowFirstColumn="0" w:lastRowLastColumn="0"/>
              <w:rPr>
                <w:rFonts w:eastAsia="Calibri"/>
                <w:noProof/>
                <w:lang w:val="sq-AL"/>
              </w:rPr>
            </w:pPr>
            <w:r w:rsidRPr="00221487">
              <w:rPr>
                <w:rFonts w:eastAsia="Calibri"/>
                <w:noProof/>
                <w:lang w:val="sq-AL"/>
              </w:rPr>
              <w:t>Administratë tatimore e përmirësuar</w:t>
            </w:r>
          </w:p>
        </w:tc>
        <w:tc>
          <w:tcPr>
            <w:tcW w:w="1041" w:type="dxa"/>
          </w:tcPr>
          <w:p w:rsidR="00221487" w:rsidRPr="00221487" w:rsidRDefault="00221487" w:rsidP="00221487">
            <w:pPr>
              <w:jc w:val="both"/>
              <w:cnfStyle w:val="000000100000" w:firstRow="0" w:lastRow="0" w:firstColumn="0" w:lastColumn="0" w:oddVBand="0" w:evenVBand="0" w:oddHBand="1" w:evenHBand="0" w:firstRowFirstColumn="0" w:firstRowLastColumn="0" w:lastRowFirstColumn="0" w:lastRowLastColumn="0"/>
              <w:rPr>
                <w:rFonts w:eastAsia="Calibri"/>
                <w:noProof/>
                <w:lang w:val="sq-AL"/>
              </w:rPr>
            </w:pPr>
            <w:r w:rsidRPr="00221487">
              <w:rPr>
                <w:rFonts w:eastAsia="Calibri"/>
                <w:noProof/>
                <w:lang w:val="sq-AL"/>
              </w:rPr>
              <w:t>12.5%</w:t>
            </w:r>
          </w:p>
        </w:tc>
        <w:tc>
          <w:tcPr>
            <w:tcW w:w="1440" w:type="dxa"/>
          </w:tcPr>
          <w:p w:rsidR="00221487" w:rsidRPr="00221487" w:rsidRDefault="00221487" w:rsidP="00221487">
            <w:pPr>
              <w:jc w:val="right"/>
              <w:cnfStyle w:val="000000100000" w:firstRow="0" w:lastRow="0" w:firstColumn="0" w:lastColumn="0" w:oddVBand="0" w:evenVBand="0" w:oddHBand="1" w:evenHBand="0" w:firstRowFirstColumn="0" w:firstRowLastColumn="0" w:lastRowFirstColumn="0" w:lastRowLastColumn="0"/>
              <w:rPr>
                <w:rFonts w:eastAsia="Calibri"/>
                <w:noProof/>
                <w:lang w:val="sq-AL"/>
              </w:rPr>
            </w:pPr>
            <w:r w:rsidRPr="00221487">
              <w:rPr>
                <w:rFonts w:eastAsia="Calibri"/>
                <w:noProof/>
                <w:lang w:val="sq-AL"/>
              </w:rPr>
              <w:t>1,250,000</w:t>
            </w:r>
          </w:p>
        </w:tc>
        <w:tc>
          <w:tcPr>
            <w:tcW w:w="1869" w:type="dxa"/>
          </w:tcPr>
          <w:p w:rsidR="00221487" w:rsidRPr="00221487" w:rsidRDefault="00221487" w:rsidP="00221487">
            <w:pPr>
              <w:jc w:val="both"/>
              <w:cnfStyle w:val="000000100000" w:firstRow="0" w:lastRow="0" w:firstColumn="0" w:lastColumn="0" w:oddVBand="0" w:evenVBand="0" w:oddHBand="1" w:evenHBand="0" w:firstRowFirstColumn="0" w:firstRowLastColumn="0" w:lastRowFirstColumn="0" w:lastRowLastColumn="0"/>
              <w:rPr>
                <w:rFonts w:eastAsia="Calibri"/>
                <w:noProof/>
                <w:lang w:val="sq-AL"/>
              </w:rPr>
            </w:pPr>
            <w:r w:rsidRPr="00221487">
              <w:rPr>
                <w:rFonts w:eastAsia="Calibri"/>
                <w:noProof/>
                <w:lang w:val="sq-AL"/>
              </w:rPr>
              <w:t>Shtyrë *</w:t>
            </w:r>
          </w:p>
        </w:tc>
        <w:tc>
          <w:tcPr>
            <w:tcW w:w="2001" w:type="dxa"/>
          </w:tcPr>
          <w:p w:rsidR="00221487" w:rsidRPr="00221487" w:rsidRDefault="00221487" w:rsidP="00221487">
            <w:pPr>
              <w:jc w:val="right"/>
              <w:cnfStyle w:val="000000100000" w:firstRow="0" w:lastRow="0" w:firstColumn="0" w:lastColumn="0" w:oddVBand="0" w:evenVBand="0" w:oddHBand="1" w:evenHBand="0" w:firstRowFirstColumn="0" w:firstRowLastColumn="0" w:lastRowFirstColumn="0" w:lastRowLastColumn="0"/>
              <w:rPr>
                <w:rFonts w:eastAsia="Calibri"/>
                <w:noProof/>
                <w:lang w:val="sq-AL"/>
              </w:rPr>
            </w:pPr>
          </w:p>
        </w:tc>
      </w:tr>
      <w:tr w:rsidR="00221487" w:rsidRPr="00221487" w:rsidTr="004342D7">
        <w:trPr>
          <w:jc w:val="center"/>
        </w:trPr>
        <w:tc>
          <w:tcPr>
            <w:cnfStyle w:val="001000000000" w:firstRow="0" w:lastRow="0" w:firstColumn="1" w:lastColumn="0" w:oddVBand="0" w:evenVBand="0" w:oddHBand="0" w:evenHBand="0" w:firstRowFirstColumn="0" w:firstRowLastColumn="0" w:lastRowFirstColumn="0" w:lastRowLastColumn="0"/>
            <w:tcW w:w="236" w:type="dxa"/>
          </w:tcPr>
          <w:p w:rsidR="00221487" w:rsidRPr="00221487" w:rsidRDefault="00221487" w:rsidP="00221487">
            <w:pPr>
              <w:jc w:val="both"/>
              <w:rPr>
                <w:rFonts w:eastAsia="Calibri"/>
                <w:noProof/>
                <w:lang w:val="sq-AL"/>
              </w:rPr>
            </w:pPr>
            <w:r w:rsidRPr="00221487">
              <w:rPr>
                <w:rFonts w:eastAsia="Calibri"/>
                <w:noProof/>
                <w:lang w:val="sq-AL"/>
              </w:rPr>
              <w:lastRenderedPageBreak/>
              <w:t>5</w:t>
            </w:r>
          </w:p>
        </w:tc>
        <w:tc>
          <w:tcPr>
            <w:tcW w:w="2948" w:type="dxa"/>
          </w:tcPr>
          <w:p w:rsidR="00221487" w:rsidRPr="00221487" w:rsidRDefault="00221487" w:rsidP="00221487">
            <w:pPr>
              <w:jc w:val="both"/>
              <w:cnfStyle w:val="000000000000" w:firstRow="0" w:lastRow="0" w:firstColumn="0" w:lastColumn="0" w:oddVBand="0" w:evenVBand="0" w:oddHBand="0" w:evenHBand="0" w:firstRowFirstColumn="0" w:firstRowLastColumn="0" w:lastRowFirstColumn="0" w:lastRowLastColumn="0"/>
              <w:rPr>
                <w:rFonts w:eastAsia="Calibri"/>
                <w:noProof/>
                <w:lang w:val="sq-AL"/>
              </w:rPr>
            </w:pPr>
            <w:r w:rsidRPr="00221487">
              <w:rPr>
                <w:rFonts w:eastAsia="Calibri"/>
                <w:noProof/>
                <w:lang w:val="sq-AL"/>
              </w:rPr>
              <w:t>Hqyrtim i forcuar i prokurimit publik</w:t>
            </w:r>
          </w:p>
        </w:tc>
        <w:tc>
          <w:tcPr>
            <w:tcW w:w="1041" w:type="dxa"/>
          </w:tcPr>
          <w:p w:rsidR="00221487" w:rsidRPr="00221487" w:rsidRDefault="00221487" w:rsidP="00221487">
            <w:pPr>
              <w:jc w:val="both"/>
              <w:cnfStyle w:val="000000000000" w:firstRow="0" w:lastRow="0" w:firstColumn="0" w:lastColumn="0" w:oddVBand="0" w:evenVBand="0" w:oddHBand="0" w:evenHBand="0" w:firstRowFirstColumn="0" w:firstRowLastColumn="0" w:lastRowFirstColumn="0" w:lastRowLastColumn="0"/>
              <w:rPr>
                <w:rFonts w:eastAsia="Calibri"/>
                <w:noProof/>
                <w:lang w:val="sq-AL"/>
              </w:rPr>
            </w:pPr>
            <w:r w:rsidRPr="00221487">
              <w:rPr>
                <w:rFonts w:eastAsia="Calibri"/>
                <w:noProof/>
                <w:lang w:val="sq-AL"/>
              </w:rPr>
              <w:t>12.5%</w:t>
            </w:r>
          </w:p>
        </w:tc>
        <w:tc>
          <w:tcPr>
            <w:tcW w:w="1440" w:type="dxa"/>
          </w:tcPr>
          <w:p w:rsidR="00221487" w:rsidRPr="00221487" w:rsidRDefault="00221487" w:rsidP="00221487">
            <w:pPr>
              <w:jc w:val="right"/>
              <w:cnfStyle w:val="000000000000" w:firstRow="0" w:lastRow="0" w:firstColumn="0" w:lastColumn="0" w:oddVBand="0" w:evenVBand="0" w:oddHBand="0" w:evenHBand="0" w:firstRowFirstColumn="0" w:firstRowLastColumn="0" w:lastRowFirstColumn="0" w:lastRowLastColumn="0"/>
              <w:rPr>
                <w:rFonts w:eastAsia="Calibri"/>
                <w:noProof/>
                <w:lang w:val="sq-AL"/>
              </w:rPr>
            </w:pPr>
          </w:p>
        </w:tc>
        <w:tc>
          <w:tcPr>
            <w:tcW w:w="1869" w:type="dxa"/>
          </w:tcPr>
          <w:p w:rsidR="00221487" w:rsidRPr="00221487" w:rsidRDefault="00221487" w:rsidP="00221487">
            <w:pPr>
              <w:jc w:val="both"/>
              <w:cnfStyle w:val="000000000000" w:firstRow="0" w:lastRow="0" w:firstColumn="0" w:lastColumn="0" w:oddVBand="0" w:evenVBand="0" w:oddHBand="0" w:evenHBand="0" w:firstRowFirstColumn="0" w:firstRowLastColumn="0" w:lastRowFirstColumn="0" w:lastRowLastColumn="0"/>
              <w:rPr>
                <w:rFonts w:eastAsia="Calibri"/>
                <w:noProof/>
                <w:lang w:val="sq-AL"/>
              </w:rPr>
            </w:pPr>
            <w:r w:rsidRPr="00221487">
              <w:rPr>
                <w:rFonts w:eastAsia="Calibri"/>
                <w:noProof/>
                <w:lang w:val="sq-AL"/>
              </w:rPr>
              <w:t>Shtyrë*</w:t>
            </w:r>
          </w:p>
        </w:tc>
        <w:tc>
          <w:tcPr>
            <w:tcW w:w="2001" w:type="dxa"/>
          </w:tcPr>
          <w:p w:rsidR="00221487" w:rsidRPr="00221487" w:rsidRDefault="00221487" w:rsidP="00221487">
            <w:pPr>
              <w:jc w:val="right"/>
              <w:cnfStyle w:val="000000000000" w:firstRow="0" w:lastRow="0" w:firstColumn="0" w:lastColumn="0" w:oddVBand="0" w:evenVBand="0" w:oddHBand="0" w:evenHBand="0" w:firstRowFirstColumn="0" w:firstRowLastColumn="0" w:lastRowFirstColumn="0" w:lastRowLastColumn="0"/>
              <w:rPr>
                <w:rFonts w:eastAsia="Calibri"/>
                <w:noProof/>
                <w:lang w:val="sq-AL"/>
              </w:rPr>
            </w:pPr>
          </w:p>
        </w:tc>
      </w:tr>
      <w:tr w:rsidR="00221487" w:rsidRPr="00221487" w:rsidTr="004342D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6" w:type="dxa"/>
          </w:tcPr>
          <w:p w:rsidR="00221487" w:rsidRPr="00221487" w:rsidRDefault="00221487" w:rsidP="00221487">
            <w:pPr>
              <w:jc w:val="both"/>
              <w:rPr>
                <w:rFonts w:eastAsia="Calibri"/>
                <w:noProof/>
                <w:lang w:val="sq-AL"/>
              </w:rPr>
            </w:pPr>
            <w:r w:rsidRPr="00221487">
              <w:rPr>
                <w:rFonts w:eastAsia="Calibri"/>
                <w:noProof/>
                <w:lang w:val="sq-AL"/>
              </w:rPr>
              <w:t>6</w:t>
            </w:r>
          </w:p>
        </w:tc>
        <w:tc>
          <w:tcPr>
            <w:tcW w:w="2948" w:type="dxa"/>
          </w:tcPr>
          <w:p w:rsidR="00221487" w:rsidRPr="00221487" w:rsidRDefault="00221487" w:rsidP="00221487">
            <w:pPr>
              <w:jc w:val="both"/>
              <w:cnfStyle w:val="000000100000" w:firstRow="0" w:lastRow="0" w:firstColumn="0" w:lastColumn="0" w:oddVBand="0" w:evenVBand="0" w:oddHBand="1" w:evenHBand="0" w:firstRowFirstColumn="0" w:firstRowLastColumn="0" w:lastRowFirstColumn="0" w:lastRowLastColumn="0"/>
              <w:rPr>
                <w:rFonts w:eastAsia="Calibri"/>
                <w:noProof/>
                <w:lang w:val="sq-AL"/>
              </w:rPr>
            </w:pPr>
            <w:r w:rsidRPr="00221487">
              <w:rPr>
                <w:rFonts w:eastAsia="Calibri"/>
                <w:noProof/>
                <w:lang w:val="sq-AL"/>
              </w:rPr>
              <w:t>Transparencë e përmirësuar</w:t>
            </w:r>
          </w:p>
        </w:tc>
        <w:tc>
          <w:tcPr>
            <w:tcW w:w="1041" w:type="dxa"/>
          </w:tcPr>
          <w:p w:rsidR="00221487" w:rsidRPr="00221487" w:rsidRDefault="00221487" w:rsidP="00221487">
            <w:pPr>
              <w:jc w:val="both"/>
              <w:cnfStyle w:val="000000100000" w:firstRow="0" w:lastRow="0" w:firstColumn="0" w:lastColumn="0" w:oddVBand="0" w:evenVBand="0" w:oddHBand="1" w:evenHBand="0" w:firstRowFirstColumn="0" w:firstRowLastColumn="0" w:lastRowFirstColumn="0" w:lastRowLastColumn="0"/>
              <w:rPr>
                <w:rFonts w:eastAsia="Calibri"/>
                <w:noProof/>
                <w:lang w:val="sq-AL"/>
              </w:rPr>
            </w:pPr>
            <w:r w:rsidRPr="00221487">
              <w:rPr>
                <w:rFonts w:eastAsia="Calibri"/>
                <w:noProof/>
                <w:lang w:val="sq-AL"/>
              </w:rPr>
              <w:t>12.5%</w:t>
            </w:r>
          </w:p>
        </w:tc>
        <w:tc>
          <w:tcPr>
            <w:tcW w:w="1440" w:type="dxa"/>
          </w:tcPr>
          <w:p w:rsidR="00221487" w:rsidRPr="00221487" w:rsidRDefault="00221487" w:rsidP="00221487">
            <w:pPr>
              <w:jc w:val="right"/>
              <w:cnfStyle w:val="000000100000" w:firstRow="0" w:lastRow="0" w:firstColumn="0" w:lastColumn="0" w:oddVBand="0" w:evenVBand="0" w:oddHBand="1" w:evenHBand="0" w:firstRowFirstColumn="0" w:firstRowLastColumn="0" w:lastRowFirstColumn="0" w:lastRowLastColumn="0"/>
              <w:rPr>
                <w:rFonts w:eastAsia="Calibri"/>
                <w:noProof/>
                <w:lang w:val="sq-AL"/>
              </w:rPr>
            </w:pPr>
            <w:r w:rsidRPr="00221487">
              <w:rPr>
                <w:rFonts w:eastAsia="Calibri"/>
                <w:noProof/>
                <w:lang w:val="sq-AL"/>
              </w:rPr>
              <w:t>1,250,000</w:t>
            </w:r>
          </w:p>
        </w:tc>
        <w:tc>
          <w:tcPr>
            <w:tcW w:w="1869" w:type="dxa"/>
          </w:tcPr>
          <w:p w:rsidR="00221487" w:rsidRPr="00221487" w:rsidRDefault="00221487" w:rsidP="00221487">
            <w:pPr>
              <w:jc w:val="both"/>
              <w:cnfStyle w:val="000000100000" w:firstRow="0" w:lastRow="0" w:firstColumn="0" w:lastColumn="0" w:oddVBand="0" w:evenVBand="0" w:oddHBand="1" w:evenHBand="0" w:firstRowFirstColumn="0" w:firstRowLastColumn="0" w:lastRowFirstColumn="0" w:lastRowLastColumn="0"/>
              <w:rPr>
                <w:rFonts w:eastAsia="Calibri"/>
                <w:noProof/>
                <w:lang w:val="sq-AL"/>
              </w:rPr>
            </w:pPr>
            <w:r w:rsidRPr="00221487">
              <w:rPr>
                <w:rFonts w:eastAsia="Calibri"/>
                <w:noProof/>
                <w:lang w:val="sq-AL"/>
              </w:rPr>
              <w:t>Plotësuar</w:t>
            </w:r>
          </w:p>
        </w:tc>
        <w:tc>
          <w:tcPr>
            <w:tcW w:w="2001" w:type="dxa"/>
          </w:tcPr>
          <w:p w:rsidR="00221487" w:rsidRPr="00221487" w:rsidRDefault="00221487" w:rsidP="00221487">
            <w:pPr>
              <w:jc w:val="right"/>
              <w:cnfStyle w:val="000000100000" w:firstRow="0" w:lastRow="0" w:firstColumn="0" w:lastColumn="0" w:oddVBand="0" w:evenVBand="0" w:oddHBand="1" w:evenHBand="0" w:firstRowFirstColumn="0" w:firstRowLastColumn="0" w:lastRowFirstColumn="0" w:lastRowLastColumn="0"/>
              <w:rPr>
                <w:rFonts w:eastAsia="Calibri"/>
                <w:noProof/>
                <w:lang w:val="sq-AL"/>
              </w:rPr>
            </w:pPr>
            <w:r w:rsidRPr="00221487">
              <w:rPr>
                <w:rFonts w:eastAsia="Calibri"/>
                <w:noProof/>
                <w:lang w:val="sq-AL"/>
              </w:rPr>
              <w:t>1,250,000</w:t>
            </w:r>
          </w:p>
        </w:tc>
      </w:tr>
      <w:tr w:rsidR="00221487" w:rsidRPr="00221487" w:rsidTr="004342D7">
        <w:trPr>
          <w:jc w:val="center"/>
        </w:trPr>
        <w:tc>
          <w:tcPr>
            <w:cnfStyle w:val="001000000000" w:firstRow="0" w:lastRow="0" w:firstColumn="1" w:lastColumn="0" w:oddVBand="0" w:evenVBand="0" w:oddHBand="0" w:evenHBand="0" w:firstRowFirstColumn="0" w:firstRowLastColumn="0" w:lastRowFirstColumn="0" w:lastRowLastColumn="0"/>
            <w:tcW w:w="236" w:type="dxa"/>
          </w:tcPr>
          <w:p w:rsidR="00221487" w:rsidRPr="00221487" w:rsidRDefault="00221487" w:rsidP="00221487">
            <w:pPr>
              <w:jc w:val="both"/>
              <w:rPr>
                <w:rFonts w:eastAsia="Calibri"/>
                <w:noProof/>
                <w:lang w:val="sq-AL"/>
              </w:rPr>
            </w:pPr>
            <w:r w:rsidRPr="00221487">
              <w:rPr>
                <w:rFonts w:eastAsia="Calibri"/>
                <w:noProof/>
                <w:lang w:val="sq-AL"/>
              </w:rPr>
              <w:t>7</w:t>
            </w:r>
          </w:p>
        </w:tc>
        <w:tc>
          <w:tcPr>
            <w:tcW w:w="2948" w:type="dxa"/>
          </w:tcPr>
          <w:p w:rsidR="00221487" w:rsidRPr="00221487" w:rsidRDefault="00221487" w:rsidP="00221487">
            <w:pPr>
              <w:jc w:val="both"/>
              <w:cnfStyle w:val="000000000000" w:firstRow="0" w:lastRow="0" w:firstColumn="0" w:lastColumn="0" w:oddVBand="0" w:evenVBand="0" w:oddHBand="0" w:evenHBand="0" w:firstRowFirstColumn="0" w:firstRowLastColumn="0" w:lastRowFirstColumn="0" w:lastRowLastColumn="0"/>
              <w:rPr>
                <w:rFonts w:eastAsia="Calibri"/>
                <w:noProof/>
                <w:lang w:val="sq-AL"/>
              </w:rPr>
            </w:pPr>
            <w:r w:rsidRPr="00221487">
              <w:rPr>
                <w:rFonts w:eastAsia="Calibri"/>
                <w:noProof/>
                <w:lang w:val="sq-AL"/>
              </w:rPr>
              <w:t>Lufta kundër korrupsionit, mashtrimit dhe konflikti i interesave</w:t>
            </w:r>
          </w:p>
        </w:tc>
        <w:tc>
          <w:tcPr>
            <w:tcW w:w="1041" w:type="dxa"/>
          </w:tcPr>
          <w:p w:rsidR="00221487" w:rsidRPr="00221487" w:rsidRDefault="00221487" w:rsidP="00221487">
            <w:pPr>
              <w:jc w:val="both"/>
              <w:cnfStyle w:val="000000000000" w:firstRow="0" w:lastRow="0" w:firstColumn="0" w:lastColumn="0" w:oddVBand="0" w:evenVBand="0" w:oddHBand="0" w:evenHBand="0" w:firstRowFirstColumn="0" w:firstRowLastColumn="0" w:lastRowFirstColumn="0" w:lastRowLastColumn="0"/>
              <w:rPr>
                <w:rFonts w:eastAsia="Calibri"/>
                <w:noProof/>
                <w:lang w:val="sq-AL"/>
              </w:rPr>
            </w:pPr>
            <w:r w:rsidRPr="00221487">
              <w:rPr>
                <w:rFonts w:eastAsia="Calibri"/>
                <w:noProof/>
                <w:lang w:val="sq-AL"/>
              </w:rPr>
              <w:t>12.5%</w:t>
            </w:r>
          </w:p>
        </w:tc>
        <w:tc>
          <w:tcPr>
            <w:tcW w:w="1440" w:type="dxa"/>
          </w:tcPr>
          <w:p w:rsidR="00221487" w:rsidRPr="00221487" w:rsidRDefault="00221487" w:rsidP="00221487">
            <w:pPr>
              <w:jc w:val="right"/>
              <w:cnfStyle w:val="000000000000" w:firstRow="0" w:lastRow="0" w:firstColumn="0" w:lastColumn="0" w:oddVBand="0" w:evenVBand="0" w:oddHBand="0" w:evenHBand="0" w:firstRowFirstColumn="0" w:firstRowLastColumn="0" w:lastRowFirstColumn="0" w:lastRowLastColumn="0"/>
              <w:rPr>
                <w:rFonts w:eastAsia="Calibri"/>
                <w:noProof/>
                <w:lang w:val="sq-AL"/>
              </w:rPr>
            </w:pPr>
            <w:r w:rsidRPr="00221487">
              <w:rPr>
                <w:rFonts w:eastAsia="Calibri"/>
                <w:noProof/>
                <w:lang w:val="sq-AL"/>
              </w:rPr>
              <w:t>1,250,000</w:t>
            </w:r>
          </w:p>
        </w:tc>
        <w:tc>
          <w:tcPr>
            <w:tcW w:w="1869" w:type="dxa"/>
          </w:tcPr>
          <w:p w:rsidR="00221487" w:rsidRPr="00221487" w:rsidRDefault="00221487" w:rsidP="00221487">
            <w:pPr>
              <w:jc w:val="both"/>
              <w:cnfStyle w:val="000000000000" w:firstRow="0" w:lastRow="0" w:firstColumn="0" w:lastColumn="0" w:oddVBand="0" w:evenVBand="0" w:oddHBand="0" w:evenHBand="0" w:firstRowFirstColumn="0" w:firstRowLastColumn="0" w:lastRowFirstColumn="0" w:lastRowLastColumn="0"/>
              <w:rPr>
                <w:rFonts w:eastAsia="Calibri"/>
                <w:noProof/>
                <w:lang w:val="sq-AL"/>
              </w:rPr>
            </w:pPr>
            <w:r w:rsidRPr="00221487">
              <w:rPr>
                <w:rFonts w:eastAsia="Calibri"/>
                <w:noProof/>
                <w:lang w:val="sq-AL"/>
              </w:rPr>
              <w:t>Nuk është plotësuar</w:t>
            </w:r>
          </w:p>
        </w:tc>
        <w:tc>
          <w:tcPr>
            <w:tcW w:w="2001" w:type="dxa"/>
          </w:tcPr>
          <w:p w:rsidR="00221487" w:rsidRPr="00221487" w:rsidRDefault="00221487" w:rsidP="00221487">
            <w:pPr>
              <w:jc w:val="right"/>
              <w:cnfStyle w:val="000000000000" w:firstRow="0" w:lastRow="0" w:firstColumn="0" w:lastColumn="0" w:oddVBand="0" w:evenVBand="0" w:oddHBand="0" w:evenHBand="0" w:firstRowFirstColumn="0" w:firstRowLastColumn="0" w:lastRowFirstColumn="0" w:lastRowLastColumn="0"/>
              <w:rPr>
                <w:rFonts w:eastAsia="Calibri"/>
                <w:noProof/>
                <w:lang w:val="sq-AL"/>
              </w:rPr>
            </w:pPr>
            <w:r w:rsidRPr="00221487">
              <w:rPr>
                <w:rFonts w:eastAsia="Calibri"/>
                <w:noProof/>
                <w:lang w:val="sq-AL"/>
              </w:rPr>
              <w:t>0</w:t>
            </w:r>
          </w:p>
        </w:tc>
      </w:tr>
      <w:tr w:rsidR="00221487" w:rsidRPr="00221487" w:rsidTr="004342D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6" w:type="dxa"/>
          </w:tcPr>
          <w:p w:rsidR="00221487" w:rsidRPr="00221487" w:rsidRDefault="00221487" w:rsidP="00221487">
            <w:pPr>
              <w:jc w:val="both"/>
              <w:rPr>
                <w:rFonts w:eastAsia="Calibri"/>
                <w:noProof/>
                <w:lang w:val="sq-AL"/>
              </w:rPr>
            </w:pPr>
            <w:r w:rsidRPr="00221487">
              <w:rPr>
                <w:rFonts w:eastAsia="Calibri"/>
                <w:noProof/>
                <w:lang w:val="sq-AL"/>
              </w:rPr>
              <w:t>8</w:t>
            </w:r>
          </w:p>
        </w:tc>
        <w:tc>
          <w:tcPr>
            <w:tcW w:w="2948" w:type="dxa"/>
          </w:tcPr>
          <w:p w:rsidR="00221487" w:rsidRPr="00221487" w:rsidRDefault="00221487" w:rsidP="00221487">
            <w:pPr>
              <w:jc w:val="both"/>
              <w:cnfStyle w:val="000000100000" w:firstRow="0" w:lastRow="0" w:firstColumn="0" w:lastColumn="0" w:oddVBand="0" w:evenVBand="0" w:oddHBand="1" w:evenHBand="0" w:firstRowFirstColumn="0" w:firstRowLastColumn="0" w:lastRowFirstColumn="0" w:lastRowLastColumn="0"/>
              <w:rPr>
                <w:rFonts w:eastAsia="Calibri"/>
                <w:noProof/>
                <w:lang w:val="sq-AL"/>
              </w:rPr>
            </w:pPr>
            <w:r w:rsidRPr="00221487">
              <w:rPr>
                <w:rFonts w:eastAsia="Calibri"/>
                <w:noProof/>
                <w:lang w:val="sq-AL"/>
              </w:rPr>
              <w:t>Auditim i jashtëm i përforcuar</w:t>
            </w:r>
          </w:p>
        </w:tc>
        <w:tc>
          <w:tcPr>
            <w:tcW w:w="1041" w:type="dxa"/>
          </w:tcPr>
          <w:p w:rsidR="00221487" w:rsidRPr="00221487" w:rsidRDefault="00221487" w:rsidP="00221487">
            <w:pPr>
              <w:jc w:val="both"/>
              <w:cnfStyle w:val="000000100000" w:firstRow="0" w:lastRow="0" w:firstColumn="0" w:lastColumn="0" w:oddVBand="0" w:evenVBand="0" w:oddHBand="1" w:evenHBand="0" w:firstRowFirstColumn="0" w:firstRowLastColumn="0" w:lastRowFirstColumn="0" w:lastRowLastColumn="0"/>
              <w:rPr>
                <w:rFonts w:eastAsia="Calibri"/>
                <w:noProof/>
                <w:lang w:val="sq-AL"/>
              </w:rPr>
            </w:pPr>
            <w:r w:rsidRPr="00221487">
              <w:rPr>
                <w:rFonts w:eastAsia="Calibri"/>
                <w:noProof/>
                <w:lang w:val="sq-AL"/>
              </w:rPr>
              <w:t>12.5%</w:t>
            </w:r>
          </w:p>
        </w:tc>
        <w:tc>
          <w:tcPr>
            <w:tcW w:w="1440" w:type="dxa"/>
          </w:tcPr>
          <w:p w:rsidR="00221487" w:rsidRPr="00221487" w:rsidRDefault="00221487" w:rsidP="00221487">
            <w:pPr>
              <w:jc w:val="right"/>
              <w:cnfStyle w:val="000000100000" w:firstRow="0" w:lastRow="0" w:firstColumn="0" w:lastColumn="0" w:oddVBand="0" w:evenVBand="0" w:oddHBand="1" w:evenHBand="0" w:firstRowFirstColumn="0" w:firstRowLastColumn="0" w:lastRowFirstColumn="0" w:lastRowLastColumn="0"/>
              <w:rPr>
                <w:rFonts w:eastAsia="Calibri"/>
                <w:noProof/>
                <w:lang w:val="sq-AL"/>
              </w:rPr>
            </w:pPr>
            <w:r w:rsidRPr="00221487">
              <w:rPr>
                <w:rFonts w:eastAsia="Calibri"/>
                <w:noProof/>
                <w:lang w:val="sq-AL"/>
              </w:rPr>
              <w:t>1,250,000</w:t>
            </w:r>
          </w:p>
        </w:tc>
        <w:tc>
          <w:tcPr>
            <w:tcW w:w="1869" w:type="dxa"/>
          </w:tcPr>
          <w:p w:rsidR="00221487" w:rsidRPr="00221487" w:rsidRDefault="00221487" w:rsidP="00221487">
            <w:pPr>
              <w:jc w:val="both"/>
              <w:cnfStyle w:val="000000100000" w:firstRow="0" w:lastRow="0" w:firstColumn="0" w:lastColumn="0" w:oddVBand="0" w:evenVBand="0" w:oddHBand="1" w:evenHBand="0" w:firstRowFirstColumn="0" w:firstRowLastColumn="0" w:lastRowFirstColumn="0" w:lastRowLastColumn="0"/>
              <w:rPr>
                <w:rFonts w:eastAsia="Calibri"/>
                <w:noProof/>
                <w:lang w:val="sq-AL"/>
              </w:rPr>
            </w:pPr>
            <w:r w:rsidRPr="00221487">
              <w:rPr>
                <w:rFonts w:eastAsia="Calibri"/>
                <w:noProof/>
                <w:lang w:val="sq-AL"/>
              </w:rPr>
              <w:t>Plotësuar</w:t>
            </w:r>
          </w:p>
        </w:tc>
        <w:tc>
          <w:tcPr>
            <w:tcW w:w="2001" w:type="dxa"/>
          </w:tcPr>
          <w:p w:rsidR="00221487" w:rsidRPr="00221487" w:rsidRDefault="00221487" w:rsidP="00221487">
            <w:pPr>
              <w:jc w:val="right"/>
              <w:cnfStyle w:val="000000100000" w:firstRow="0" w:lastRow="0" w:firstColumn="0" w:lastColumn="0" w:oddVBand="0" w:evenVBand="0" w:oddHBand="1" w:evenHBand="0" w:firstRowFirstColumn="0" w:firstRowLastColumn="0" w:lastRowFirstColumn="0" w:lastRowLastColumn="0"/>
              <w:rPr>
                <w:rFonts w:eastAsia="Calibri"/>
                <w:noProof/>
                <w:lang w:val="sq-AL"/>
              </w:rPr>
            </w:pPr>
            <w:r w:rsidRPr="00221487">
              <w:rPr>
                <w:rFonts w:eastAsia="Calibri"/>
                <w:noProof/>
                <w:lang w:val="sq-AL"/>
              </w:rPr>
              <w:t>1,250,000</w:t>
            </w:r>
          </w:p>
        </w:tc>
      </w:tr>
      <w:tr w:rsidR="00221487" w:rsidRPr="00221487" w:rsidTr="004342D7">
        <w:trPr>
          <w:jc w:val="center"/>
        </w:trPr>
        <w:tc>
          <w:tcPr>
            <w:cnfStyle w:val="001000000000" w:firstRow="0" w:lastRow="0" w:firstColumn="1" w:lastColumn="0" w:oddVBand="0" w:evenVBand="0" w:oddHBand="0" w:evenHBand="0" w:firstRowFirstColumn="0" w:firstRowLastColumn="0" w:lastRowFirstColumn="0" w:lastRowLastColumn="0"/>
            <w:tcW w:w="7534" w:type="dxa"/>
            <w:gridSpan w:val="5"/>
          </w:tcPr>
          <w:p w:rsidR="00221487" w:rsidRPr="00221487" w:rsidRDefault="000F2F95" w:rsidP="00221487">
            <w:pPr>
              <w:jc w:val="both"/>
              <w:rPr>
                <w:rFonts w:eastAsia="Calibri"/>
                <w:noProof/>
                <w:lang w:val="sq-AL"/>
              </w:rPr>
            </w:pPr>
            <w:r>
              <w:rPr>
                <w:rFonts w:eastAsia="Calibri"/>
                <w:noProof/>
                <w:lang w:val="sq-AL"/>
              </w:rPr>
              <w:t xml:space="preserve">Transhi </w:t>
            </w:r>
            <w:r w:rsidR="00221487" w:rsidRPr="00221487">
              <w:rPr>
                <w:rFonts w:eastAsia="Calibri"/>
                <w:noProof/>
                <w:lang w:val="sq-AL"/>
              </w:rPr>
              <w:t>i tretë variabël i disbursuar</w:t>
            </w:r>
          </w:p>
        </w:tc>
        <w:tc>
          <w:tcPr>
            <w:tcW w:w="2001" w:type="dxa"/>
          </w:tcPr>
          <w:p w:rsidR="00221487" w:rsidRPr="00221487" w:rsidRDefault="00221487" w:rsidP="00221487">
            <w:pPr>
              <w:jc w:val="right"/>
              <w:cnfStyle w:val="000000000000" w:firstRow="0" w:lastRow="0" w:firstColumn="0" w:lastColumn="0" w:oddVBand="0" w:evenVBand="0" w:oddHBand="0" w:evenHBand="0" w:firstRowFirstColumn="0" w:firstRowLastColumn="0" w:lastRowFirstColumn="0" w:lastRowLastColumn="0"/>
              <w:rPr>
                <w:rFonts w:eastAsia="Calibri"/>
                <w:noProof/>
                <w:lang w:val="sq-AL"/>
              </w:rPr>
            </w:pPr>
            <w:r w:rsidRPr="00221487">
              <w:rPr>
                <w:rFonts w:eastAsia="Calibri"/>
                <w:noProof/>
                <w:lang w:val="sq-AL"/>
              </w:rPr>
              <w:t>5,625,000</w:t>
            </w:r>
          </w:p>
        </w:tc>
      </w:tr>
    </w:tbl>
    <w:p w:rsidR="00221487" w:rsidRPr="00221487" w:rsidRDefault="00221487" w:rsidP="00221487">
      <w:pPr>
        <w:spacing w:after="0" w:line="240" w:lineRule="auto"/>
        <w:jc w:val="both"/>
        <w:rPr>
          <w:rFonts w:ascii="Times New Roman" w:eastAsia="Times New Roman" w:hAnsi="Times New Roman" w:cs="Times New Roman"/>
          <w:noProof/>
          <w:sz w:val="18"/>
          <w:szCs w:val="18"/>
          <w:lang w:val="sq-AL"/>
        </w:rPr>
      </w:pPr>
      <w:r w:rsidRPr="00221487">
        <w:rPr>
          <w:rFonts w:ascii="Times New Roman" w:eastAsia="Times New Roman" w:hAnsi="Times New Roman" w:cs="Times New Roman"/>
          <w:noProof/>
          <w:lang w:val="sq-AL"/>
        </w:rPr>
        <w:t xml:space="preserve">* </w:t>
      </w:r>
      <w:r w:rsidRPr="00221487">
        <w:rPr>
          <w:rFonts w:ascii="Times New Roman" w:eastAsia="Times New Roman" w:hAnsi="Times New Roman" w:cs="Times New Roman"/>
          <w:noProof/>
          <w:sz w:val="18"/>
          <w:szCs w:val="18"/>
          <w:lang w:val="sq-AL"/>
        </w:rPr>
        <w:t xml:space="preserve">Vlerësimi i këtyre dy treguesve u shty dhe kërkesa për disbursim do të dërgohet për miratim gjatë tremujorit të parë të vitit 2019, së bashku me Raportin e Progresit të Monitorimit të MFP 2018.  </w:t>
      </w:r>
    </w:p>
    <w:p w:rsidR="00221487" w:rsidRPr="00221487" w:rsidRDefault="00221487" w:rsidP="00221487">
      <w:pPr>
        <w:spacing w:after="0" w:line="240" w:lineRule="auto"/>
        <w:jc w:val="both"/>
        <w:rPr>
          <w:rFonts w:ascii="Times New Roman" w:eastAsia="Times New Roman" w:hAnsi="Times New Roman" w:cs="Times New Roman"/>
          <w:noProof/>
          <w:sz w:val="18"/>
          <w:szCs w:val="18"/>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I katërti nga pesë misionet e rishikimit të pajtueshmërisë u zhvillua në Tiranë nga 10 deri më 21 Shtator 2018 dhe u përqendrua në vlerësimin e kushteve të përgjithshme. Duke pasur parasysh natyrën e përkohshme të detyrës, Vlerësuesit e përqendruan misionin e tyre kryesisht në: a) Përpunimin e analizës së kushteve të përgjithshme të KRS MFP në zonat tematike të zgjedhura; b) Dhënien e sugjerimeve për qeverinë për mënyrën se si arrihet përputhja e plotë për lirimin e fondeve për kushte specifike 4.3 dhe 5.3, pas shtyrjes së tyre zyrtare në vitin 2019.</w:t>
      </w: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keepNext/>
        <w:spacing w:after="0" w:line="240" w:lineRule="auto"/>
        <w:ind w:left="612"/>
        <w:jc w:val="both"/>
        <w:outlineLvl w:val="1"/>
        <w:rPr>
          <w:rFonts w:ascii="Times New Roman" w:eastAsia="Times" w:hAnsi="Times New Roman" w:cs="Times New Roman"/>
          <w:b/>
          <w:bCs/>
          <w:noProof/>
          <w:lang w:val="sq-AL"/>
        </w:rPr>
      </w:pPr>
      <w:bookmarkStart w:id="24" w:name="_Toc3984455"/>
      <w:r w:rsidRPr="00221487">
        <w:rPr>
          <w:rFonts w:ascii="Times New Roman" w:eastAsia="Times" w:hAnsi="Times New Roman" w:cs="Times New Roman"/>
          <w:b/>
          <w:bCs/>
          <w:noProof/>
          <w:lang w:val="sq-AL"/>
        </w:rPr>
        <w:t>2.3.</w:t>
      </w:r>
      <w:r w:rsidRPr="00221487">
        <w:rPr>
          <w:rFonts w:ascii="Arial" w:eastAsia="Arial" w:hAnsi="Arial" w:cs="Arial"/>
          <w:b/>
          <w:bCs/>
          <w:noProof/>
          <w:lang w:val="sq-AL"/>
        </w:rPr>
        <w:t xml:space="preserve"> </w:t>
      </w:r>
      <w:r w:rsidRPr="00221487">
        <w:rPr>
          <w:rFonts w:ascii="Arial" w:eastAsia="Arial" w:hAnsi="Arial" w:cs="Arial"/>
          <w:b/>
          <w:bCs/>
          <w:noProof/>
          <w:lang w:val="sq-AL"/>
        </w:rPr>
        <w:tab/>
      </w:r>
      <w:r w:rsidRPr="00221487">
        <w:rPr>
          <w:rFonts w:ascii="Times New Roman" w:eastAsia="Times" w:hAnsi="Times New Roman" w:cs="Times New Roman"/>
          <w:b/>
          <w:bCs/>
          <w:noProof/>
          <w:lang w:val="sq-AL"/>
        </w:rPr>
        <w:t>Vizibiliteti i Strategjisë MFP</w:t>
      </w:r>
      <w:bookmarkEnd w:id="24"/>
      <w:r w:rsidRPr="00221487">
        <w:rPr>
          <w:rFonts w:ascii="Times New Roman" w:eastAsia="Times" w:hAnsi="Times New Roman" w:cs="Times New Roman"/>
          <w:b/>
          <w:bCs/>
          <w:noProof/>
          <w:lang w:val="sq-AL"/>
        </w:rPr>
        <w:t xml:space="preserve"> </w:t>
      </w: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rPr>
          <w:rFonts w:ascii="Times New Roman" w:eastAsia="Times" w:hAnsi="Times New Roman" w:cs="Times New Roman"/>
          <w:noProof/>
          <w:lang w:val="sq-AL"/>
        </w:rPr>
      </w:pPr>
      <w:r w:rsidRPr="00221487">
        <w:rPr>
          <w:rFonts w:ascii="Times New Roman" w:eastAsia="Times" w:hAnsi="Times New Roman" w:cs="Times New Roman"/>
          <w:noProof/>
          <w:lang w:val="sq-AL"/>
        </w:rPr>
        <w:t>Strategjia e Reformës së MFP gjithashtu shërben si një kornizë e dialogut politik për të gjithë donatorët dhe aktorët e shoqërisë civile që janë aktivë në këtë sektor. Gjatë vitit 2018 u mbajtën takime të Komitetit Drejtues të MFP-së dhe Komitetit Teknik, ku u raportua progresi i zbatimit të Strategjisë së MFP-së. Takimi i KD u ndoq nga palët kryesorë të PFM të Qeverisë Shqiptare si dhe donatorët / partnerët për zhvillim.</w:t>
      </w:r>
    </w:p>
    <w:p w:rsidR="00221487" w:rsidRPr="00221487" w:rsidRDefault="00221487" w:rsidP="00221487">
      <w:pPr>
        <w:spacing w:after="0"/>
        <w:jc w:val="both"/>
        <w:rPr>
          <w:rFonts w:ascii="Times New Roman" w:eastAsia="Times" w:hAnsi="Times New Roman" w:cs="Times New Roman"/>
          <w:noProof/>
          <w:lang w:val="sq-AL"/>
        </w:rPr>
      </w:pPr>
    </w:p>
    <w:p w:rsidR="00221487" w:rsidRPr="00221487" w:rsidRDefault="00221487" w:rsidP="00221487">
      <w:pPr>
        <w:spacing w:after="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Aktivitetet e mëposhtme për vizibilitet dhe informim u zhvilluan gjatë vitit 2018: </w:t>
      </w:r>
    </w:p>
    <w:p w:rsidR="00221487" w:rsidRPr="00221487" w:rsidRDefault="00221487" w:rsidP="007C6F79">
      <w:pPr>
        <w:numPr>
          <w:ilvl w:val="0"/>
          <w:numId w:val="33"/>
        </w:numPr>
        <w:autoSpaceDE w:val="0"/>
        <w:autoSpaceDN w:val="0"/>
        <w:adjustRightInd w:val="0"/>
        <w:spacing w:after="0" w:line="240" w:lineRule="auto"/>
        <w:jc w:val="both"/>
        <w:rPr>
          <w:rFonts w:ascii="Times New Roman" w:eastAsia="Calibri" w:hAnsi="Times New Roman" w:cs="Arial"/>
          <w:noProof/>
          <w:color w:val="000000"/>
          <w:lang w:val="sq-AL"/>
        </w:rPr>
      </w:pPr>
      <w:r w:rsidRPr="00221487">
        <w:rPr>
          <w:rFonts w:ascii="Times New Roman" w:eastAsia="Calibri" w:hAnsi="Times New Roman" w:cs="Arial"/>
          <w:noProof/>
          <w:color w:val="000000"/>
          <w:lang w:val="sq-AL"/>
        </w:rPr>
        <w:t>MoFE</w:t>
      </w:r>
      <w:r w:rsidRPr="000F2F95">
        <w:rPr>
          <w:rFonts w:ascii="Arial" w:eastAsia="Calibri" w:hAnsi="Arial" w:cs="Arial"/>
          <w:color w:val="000000"/>
          <w:sz w:val="24"/>
          <w:szCs w:val="24"/>
          <w:lang w:val="sq-AL"/>
        </w:rPr>
        <w:t xml:space="preserve"> </w:t>
      </w:r>
      <w:r w:rsidRPr="00221487">
        <w:rPr>
          <w:rFonts w:ascii="Times New Roman" w:eastAsia="Calibri" w:hAnsi="Times New Roman" w:cs="Arial"/>
          <w:noProof/>
          <w:color w:val="000000"/>
          <w:lang w:val="sq-AL"/>
        </w:rPr>
        <w:t>MFE, e mbështetur nga Asistenca Teknike e BE-së për Menaxhimin e Financave Publike, në bashkëpunim me Fondacionin e Shoqërisë së Hapur për Shqipërinë dhe Bankën Botërore organizuan një tryezë të rrumbullakët këshillimi në datën 16 Prill 2018, duke u përqëndruar në rritjen e transparencës së financave publike. Kjo tryezë u ndoq nga Ambasadori i BE-së në Shqipëri, përfaqësues nga Ministria e Financave dhe Ekonomisë, Fondacioni i Shoqërisë së Hapur për Shqipërinë dhe nga shoqëria civile. Për të rritur transparencën, u theksua ndërgjegjësimi i aktorëve, veçanërisht i shoqërisë civile dhe organizatave joqeveritare, për të bashkëpunuar me institucionet publike për t'i bërë financat publike më të kuptueshme dhe të përgjegjshme, si dhe angazhimin e qeverisë për të siguruar një proces të hapur dhe kuptimplotë të konsultimit dhe përfshirjes së palëve të interesit, lidhur me nevojën për të institucionalizuar proceset e konsultimit; sigurimi i aksesit palëve të interesuara dhe përgjegjësia e institucioneve për të zhvilluar një dialog thelbësor me qytetarët dhe shoqërinë civile për përparësitë; sfidat dhe për rrjedhojë, kufizimet e buxhetit. Në këtë takim u prezantua platforma interaktive e buxhetimit në internet Boost, e krijuar në bashkëpunim me Bankën Botërore. Platforma Boost lejon qasje të plotë në të dhënat e buxhetit dhe vizualizimin e saj sipas preferencave të qytetarëve.</w:t>
      </w:r>
    </w:p>
    <w:p w:rsidR="00221487" w:rsidRPr="00221487" w:rsidRDefault="00221487" w:rsidP="007C6F79">
      <w:pPr>
        <w:numPr>
          <w:ilvl w:val="0"/>
          <w:numId w:val="33"/>
        </w:numPr>
        <w:autoSpaceDE w:val="0"/>
        <w:autoSpaceDN w:val="0"/>
        <w:adjustRightInd w:val="0"/>
        <w:spacing w:after="0" w:line="240" w:lineRule="auto"/>
        <w:jc w:val="both"/>
        <w:rPr>
          <w:rFonts w:ascii="Times New Roman" w:eastAsia="Calibri" w:hAnsi="Times New Roman" w:cs="Arial"/>
          <w:noProof/>
          <w:color w:val="000000"/>
          <w:lang w:val="sq-AL"/>
        </w:rPr>
      </w:pPr>
      <w:r w:rsidRPr="00221487">
        <w:rPr>
          <w:rFonts w:ascii="Times New Roman" w:eastAsia="Calibri" w:hAnsi="Times New Roman" w:cs="Arial"/>
          <w:noProof/>
          <w:color w:val="000000"/>
          <w:lang w:val="sq-AL"/>
        </w:rPr>
        <w:t>Sipas kalendarit të buxhetit 2018, me mbështetjen e Fondacionit të Shoqërisë së Hapur për Shqipërinë, në datat 28 dhe 29 prill u organizuan konsultime me shoqërinë civile për sektorët e arsimit, shëndetësisë, mbrojtjes sociale dhe kulturës.</w:t>
      </w:r>
    </w:p>
    <w:p w:rsidR="00221487" w:rsidRPr="00221487" w:rsidRDefault="00221487" w:rsidP="007C6F79">
      <w:pPr>
        <w:numPr>
          <w:ilvl w:val="0"/>
          <w:numId w:val="33"/>
        </w:numPr>
        <w:autoSpaceDE w:val="0"/>
        <w:autoSpaceDN w:val="0"/>
        <w:adjustRightInd w:val="0"/>
        <w:spacing w:after="0" w:line="240" w:lineRule="auto"/>
        <w:jc w:val="both"/>
        <w:rPr>
          <w:rFonts w:ascii="Times New Roman" w:eastAsia="Calibri" w:hAnsi="Times New Roman" w:cs="Arial"/>
          <w:noProof/>
          <w:color w:val="000000"/>
          <w:lang w:val="sq-AL"/>
        </w:rPr>
      </w:pPr>
      <w:r w:rsidRPr="00221487">
        <w:rPr>
          <w:rFonts w:ascii="Times New Roman" w:eastAsia="Calibri" w:hAnsi="Times New Roman" w:cs="Arial"/>
          <w:noProof/>
          <w:color w:val="000000"/>
          <w:lang w:val="sq-AL"/>
        </w:rPr>
        <w:t>Më 20 qershor 2018, MFE dhe ministritë e linjës organizuan një Seminar Praktik për KOnsultimin e Prioriteteve të Politikave të PBA-së 2019-2021. Në semibnar morën pjesë organizata të shoqërisë civile, universitete, përfaqësues nga MFE, Kryeministri, menaxherë të programeve kryesore nga ministritë e linjës dhe Ekipi i Asistencës Teknike të BE-së për Menaxhimin e Financave Publike. Në këtë takim u diskutua me organizatat e shoqërisë civile për përparësitë e financimit në ciklin e ardhshëm të buxhetit.</w:t>
      </w:r>
    </w:p>
    <w:p w:rsidR="00221487" w:rsidRPr="00221487" w:rsidRDefault="00221487" w:rsidP="007C6F79">
      <w:pPr>
        <w:numPr>
          <w:ilvl w:val="0"/>
          <w:numId w:val="33"/>
        </w:numPr>
        <w:autoSpaceDE w:val="0"/>
        <w:autoSpaceDN w:val="0"/>
        <w:adjustRightInd w:val="0"/>
        <w:spacing w:after="0" w:line="240" w:lineRule="auto"/>
        <w:jc w:val="both"/>
        <w:rPr>
          <w:rFonts w:ascii="Times New Roman" w:eastAsia="Calibri" w:hAnsi="Times New Roman" w:cs="Arial"/>
          <w:noProof/>
          <w:color w:val="000000"/>
          <w:lang w:val="sq-AL"/>
        </w:rPr>
      </w:pPr>
      <w:r w:rsidRPr="00221487">
        <w:rPr>
          <w:rFonts w:ascii="Times New Roman" w:eastAsia="Calibri" w:hAnsi="Times New Roman" w:cs="Arial"/>
          <w:noProof/>
          <w:color w:val="000000"/>
          <w:lang w:val="sq-AL"/>
        </w:rPr>
        <w:t>• Në Raportin Vjetor të Zbatimit të Buxhetit të Konsoliduar të vitit 2017 që u botua nga MFE në qershor 2018, për herë të parë është përfshirë zbatimi i parimeve dhe rregullave fiskale të përcaktuara në LOB.</w:t>
      </w:r>
    </w:p>
    <w:p w:rsidR="00221487" w:rsidRPr="00221487" w:rsidRDefault="00221487" w:rsidP="007C6F79">
      <w:pPr>
        <w:numPr>
          <w:ilvl w:val="0"/>
          <w:numId w:val="33"/>
        </w:numPr>
        <w:autoSpaceDE w:val="0"/>
        <w:autoSpaceDN w:val="0"/>
        <w:adjustRightInd w:val="0"/>
        <w:spacing w:after="0" w:line="240" w:lineRule="auto"/>
        <w:jc w:val="both"/>
        <w:rPr>
          <w:rFonts w:ascii="Times New Roman" w:eastAsia="Calibri" w:hAnsi="Times New Roman" w:cs="Arial"/>
          <w:noProof/>
          <w:color w:val="000000"/>
          <w:lang w:val="sq-AL"/>
        </w:rPr>
      </w:pPr>
      <w:r w:rsidRPr="00221487">
        <w:rPr>
          <w:rFonts w:ascii="Times New Roman" w:eastAsia="Calibri" w:hAnsi="Times New Roman" w:cs="Arial"/>
          <w:noProof/>
          <w:color w:val="000000"/>
          <w:lang w:val="sq-AL"/>
        </w:rPr>
        <w:lastRenderedPageBreak/>
        <w:t>• Raporti në mes të vitit për Ekzekutimin e Buxhetit është botuar për vitin 2018. Ka informacione të gjera për periudhën Janar - Maj 2018 për situatën makro fiskale dhe pritshmëritë për periudhën e mbetur Qershor - Dhjetor 2018.</w:t>
      </w:r>
      <w:r w:rsidRPr="00221487">
        <w:rPr>
          <w:rFonts w:ascii="Times New Roman" w:eastAsia="Calibri" w:hAnsi="Times New Roman" w:cs="Arial"/>
          <w:bCs/>
          <w:noProof/>
          <w:color w:val="000000"/>
          <w:lang w:val="sq-AL" w:eastAsia="nl-NL"/>
        </w:rPr>
        <w:t xml:space="preserve"> </w:t>
      </w:r>
    </w:p>
    <w:p w:rsidR="00221487" w:rsidRPr="00221487" w:rsidRDefault="00221487" w:rsidP="007C6F79">
      <w:pPr>
        <w:numPr>
          <w:ilvl w:val="0"/>
          <w:numId w:val="33"/>
        </w:numPr>
        <w:autoSpaceDE w:val="0"/>
        <w:autoSpaceDN w:val="0"/>
        <w:adjustRightInd w:val="0"/>
        <w:spacing w:after="0" w:line="240" w:lineRule="auto"/>
        <w:jc w:val="both"/>
        <w:rPr>
          <w:rFonts w:ascii="Times New Roman" w:eastAsia="Calibri" w:hAnsi="Times New Roman" w:cs="Arial"/>
          <w:noProof/>
          <w:color w:val="000000"/>
          <w:lang w:val="sq-AL"/>
        </w:rPr>
      </w:pPr>
      <w:r w:rsidRPr="00221487">
        <w:rPr>
          <w:rFonts w:ascii="Times New Roman" w:eastAsia="Calibri" w:hAnsi="Times New Roman" w:cs="Arial"/>
          <w:noProof/>
          <w:color w:val="000000"/>
          <w:lang w:val="sq-AL"/>
        </w:rPr>
        <w:t>Drejtoria e Përgjithshme e Tatimeve ka realizuar dy fushata ndërgjegjësimi: për subjektet e biznesit që janë të përfshirë në skemën e TVSH-së, dhe për subjektet që operojnë në fushën e turizmit.</w:t>
      </w:r>
    </w:p>
    <w:p w:rsidR="00221487" w:rsidRPr="00221487" w:rsidRDefault="00221487" w:rsidP="007C6F79">
      <w:pPr>
        <w:numPr>
          <w:ilvl w:val="0"/>
          <w:numId w:val="33"/>
        </w:numPr>
        <w:autoSpaceDE w:val="0"/>
        <w:autoSpaceDN w:val="0"/>
        <w:adjustRightInd w:val="0"/>
        <w:spacing w:after="0" w:line="240" w:lineRule="auto"/>
        <w:jc w:val="both"/>
        <w:rPr>
          <w:rFonts w:ascii="Times New Roman" w:eastAsia="Calibri" w:hAnsi="Times New Roman" w:cs="Arial"/>
          <w:noProof/>
          <w:color w:val="000000"/>
          <w:lang w:val="sq-AL"/>
        </w:rPr>
      </w:pPr>
      <w:r w:rsidRPr="00221487">
        <w:rPr>
          <w:rFonts w:ascii="Times New Roman" w:eastAsia="Calibri" w:hAnsi="Times New Roman" w:cs="Arial"/>
          <w:noProof/>
          <w:color w:val="000000"/>
          <w:lang w:val="sq-AL"/>
        </w:rPr>
        <w:t>Strukturat përgjegjëse për administrimin e komunikimit me përdoruesit fundorë (Pika e Informimit të Qytetarëve / Biznesit) janë krijuar të gjitha për Drejtorinë e Përgjithshme të Doganave dhe Degëve Doganore.</w:t>
      </w:r>
    </w:p>
    <w:p w:rsidR="00221487" w:rsidRPr="00221487" w:rsidRDefault="00221487" w:rsidP="007C6F79">
      <w:pPr>
        <w:numPr>
          <w:ilvl w:val="0"/>
          <w:numId w:val="33"/>
        </w:numPr>
        <w:autoSpaceDE w:val="0"/>
        <w:autoSpaceDN w:val="0"/>
        <w:adjustRightInd w:val="0"/>
        <w:spacing w:after="0" w:line="240" w:lineRule="auto"/>
        <w:jc w:val="both"/>
        <w:rPr>
          <w:rFonts w:ascii="Times New Roman" w:eastAsia="Calibri" w:hAnsi="Times New Roman" w:cs="Arial"/>
          <w:noProof/>
          <w:color w:val="000000"/>
          <w:lang w:val="sq-AL"/>
        </w:rPr>
      </w:pPr>
      <w:r w:rsidRPr="00221487">
        <w:rPr>
          <w:rFonts w:ascii="Times New Roman" w:eastAsia="Calibri" w:hAnsi="Times New Roman" w:cs="Arial"/>
          <w:noProof/>
          <w:color w:val="000000"/>
          <w:lang w:val="sq-AL"/>
        </w:rPr>
        <w:t>SRF u përfundua dhe u përfshi si Kapitull i veçantë (K.8: Risqet Fiskale dhe Masat e Parandalimit ") në projektligjin për Buxhetin Vjetor të vitit 2019. Më 26 tetor ajo u miratua nga KM dhe u dërgua zyrtarisht në Kuvend, si dhe u botua në faqen e internetit të MFE-së.</w:t>
      </w:r>
    </w:p>
    <w:p w:rsidR="00221487" w:rsidRPr="00B52EED" w:rsidRDefault="00221487" w:rsidP="007C6F79">
      <w:pPr>
        <w:numPr>
          <w:ilvl w:val="0"/>
          <w:numId w:val="33"/>
        </w:numPr>
        <w:autoSpaceDE w:val="0"/>
        <w:autoSpaceDN w:val="0"/>
        <w:spacing w:after="0" w:line="240" w:lineRule="auto"/>
        <w:jc w:val="both"/>
        <w:rPr>
          <w:rFonts w:ascii="Times New Roman" w:eastAsia="Calibri" w:hAnsi="Times New Roman" w:cs="Arial"/>
          <w:noProof/>
          <w:color w:val="000000"/>
          <w:lang w:val="sq-AL"/>
        </w:rPr>
      </w:pPr>
      <w:r w:rsidRPr="00221487">
        <w:rPr>
          <w:rFonts w:ascii="Times New Roman" w:eastAsia="Calibri" w:hAnsi="Times New Roman" w:cs="Arial"/>
          <w:noProof/>
          <w:color w:val="000000"/>
          <w:lang w:val="sq-AL"/>
        </w:rPr>
        <w:t xml:space="preserve">Portali i financave vendore vazhdon të publikojë të dhënat për financat vendore dhe të përditsohet me të dhënat për shpenzimet dhe të ardhurat për njësitë individuale të </w:t>
      </w:r>
      <w:r w:rsidRPr="00B52EED">
        <w:rPr>
          <w:rFonts w:ascii="Times New Roman" w:eastAsia="Calibri" w:hAnsi="Times New Roman" w:cs="Arial"/>
          <w:noProof/>
          <w:color w:val="000000"/>
          <w:lang w:val="sq-AL"/>
        </w:rPr>
        <w:t>qeverisjes vendore.</w:t>
      </w:r>
    </w:p>
    <w:p w:rsidR="00221487" w:rsidRPr="00221487" w:rsidRDefault="00221487" w:rsidP="00221487">
      <w:pPr>
        <w:autoSpaceDE w:val="0"/>
        <w:autoSpaceDN w:val="0"/>
        <w:adjustRightInd w:val="0"/>
        <w:spacing w:after="0"/>
        <w:jc w:val="both"/>
        <w:rPr>
          <w:rFonts w:ascii="Times New Roman" w:eastAsia="Times New Roman" w:hAnsi="Times New Roman" w:cs="Times New Roman"/>
          <w:noProof/>
          <w:lang w:val="sq-AL"/>
        </w:rPr>
      </w:pPr>
      <w:r w:rsidRPr="00B52EED">
        <w:rPr>
          <w:rFonts w:ascii="Times New Roman" w:eastAsia="Times New Roman" w:hAnsi="Times New Roman" w:cs="Times New Roman"/>
          <w:noProof/>
          <w:lang w:val="sq-AL"/>
        </w:rPr>
        <w:t xml:space="preserve">Me qëllim përmirësimin e drejtimit të Strategjive Sektoriale të mbështetura nga MBS, MFE në bashkëpunim me AT të MFP organizuan disa takime me pjesëmarrjen e MFE, ME&amp;FA, </w:t>
      </w:r>
      <w:r w:rsidR="00B52EED" w:rsidRPr="00B52EED">
        <w:rPr>
          <w:rFonts w:ascii="Times New Roman" w:eastAsia="Times New Roman" w:hAnsi="Times New Roman" w:cs="Times New Roman"/>
          <w:noProof/>
          <w:lang w:val="sq-AL"/>
        </w:rPr>
        <w:t>KM</w:t>
      </w:r>
      <w:r w:rsidRPr="00B52EED">
        <w:rPr>
          <w:rFonts w:ascii="Times New Roman" w:eastAsia="Times New Roman" w:hAnsi="Times New Roman" w:cs="Times New Roman"/>
          <w:noProof/>
          <w:lang w:val="sq-AL"/>
        </w:rPr>
        <w:t xml:space="preserve"> përfshirë DAP-in, MIE, MD; si dhe Delegacionit të BE-së:</w:t>
      </w:r>
      <w:r w:rsidRPr="00221487">
        <w:rPr>
          <w:rFonts w:ascii="Times New Roman" w:eastAsia="Times New Roman" w:hAnsi="Times New Roman" w:cs="Times New Roman"/>
          <w:noProof/>
          <w:lang w:val="sq-AL"/>
        </w:rPr>
        <w:t xml:space="preserve"> </w:t>
      </w:r>
    </w:p>
    <w:p w:rsidR="00221487" w:rsidRPr="00B52EED" w:rsidRDefault="00221487" w:rsidP="007C6F79">
      <w:pPr>
        <w:numPr>
          <w:ilvl w:val="0"/>
          <w:numId w:val="34"/>
        </w:numPr>
        <w:autoSpaceDE w:val="0"/>
        <w:autoSpaceDN w:val="0"/>
        <w:adjustRightInd w:val="0"/>
        <w:spacing w:after="0" w:line="240" w:lineRule="auto"/>
        <w:contextualSpacing/>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Më 7 - 8 shkurt 2018, u organizua Seminari i Parë me Shumë Palë të Interesuara. Objektivat kryesore ishin: i) të kuptojnë përfitimet e Mbështetjes së Buxhetit të Sektorit dhe të përmirësohet menaxhimi, koordinimi dhe bashkëpunimi i saj në të gjithë qeverinë; dhe ii) të sigurojë një </w:t>
      </w:r>
      <w:r w:rsidRPr="00B52EED">
        <w:rPr>
          <w:rFonts w:ascii="Times New Roman" w:eastAsia="Times New Roman" w:hAnsi="Times New Roman" w:cs="Times New Roman"/>
          <w:noProof/>
          <w:lang w:val="sq-AL"/>
        </w:rPr>
        <w:t>përmbledhje të Strategjive të Sektorit aktual të mbështetur nga MBS dhe të paraqesë qasje të praktikës së mirë për kostimin e tyre, për të informuar PBA-në e re.</w:t>
      </w:r>
    </w:p>
    <w:p w:rsidR="00221487" w:rsidRPr="00B52EED" w:rsidRDefault="00221487" w:rsidP="007C6F79">
      <w:pPr>
        <w:numPr>
          <w:ilvl w:val="0"/>
          <w:numId w:val="34"/>
        </w:numPr>
        <w:autoSpaceDE w:val="0"/>
        <w:autoSpaceDN w:val="0"/>
        <w:adjustRightInd w:val="0"/>
        <w:spacing w:after="0" w:line="240" w:lineRule="auto"/>
        <w:contextualSpacing/>
        <w:jc w:val="both"/>
        <w:rPr>
          <w:rFonts w:ascii="Times New Roman" w:eastAsia="Times New Roman" w:hAnsi="Times New Roman" w:cs="Times New Roman"/>
          <w:noProof/>
          <w:lang w:val="sq-AL"/>
        </w:rPr>
      </w:pPr>
      <w:r w:rsidRPr="00B52EED">
        <w:rPr>
          <w:rFonts w:ascii="Times New Roman" w:eastAsia="Times New Roman" w:hAnsi="Times New Roman" w:cs="Times New Roman"/>
          <w:noProof/>
          <w:lang w:val="sq-AL"/>
        </w:rPr>
        <w:t>Seminari i dytë u mbajt në 25 - 26 qershor 2018. Objektivat kryesore ishin: i) prezantimi i modalitetit dhe instrumentit të financimit të MBS; ii) Të sigurojë një përmbledhje të kërkesave të ciklit të MBS, kriteret e përshtatshmërisë dhe monitorimin e treguesve; iii) Të informojë sektorët se si të përgatisin kërkesën e tyre për paketën e disbursimit nga Delegacioni i BE; iv) të informojë sektorët e metodologjisë së rishikimit të përputhshmërisë së Delegacionit të BE-së dhe si të përgatitet për misionet e rishikimit të pajtueshmërisë të kontraktuara nga Delegacioni i BE; dhe v) të marrin në konsideratë marrëveshjet institucionale për Menaxhimin e njohurive të MBS.</w:t>
      </w:r>
    </w:p>
    <w:p w:rsidR="00221487" w:rsidRPr="00B52EED" w:rsidRDefault="00221487" w:rsidP="007C6F79">
      <w:pPr>
        <w:numPr>
          <w:ilvl w:val="0"/>
          <w:numId w:val="34"/>
        </w:numPr>
        <w:autoSpaceDE w:val="0"/>
        <w:autoSpaceDN w:val="0"/>
        <w:adjustRightInd w:val="0"/>
        <w:spacing w:after="0" w:line="240" w:lineRule="auto"/>
        <w:contextualSpacing/>
        <w:jc w:val="both"/>
        <w:rPr>
          <w:rFonts w:ascii="Times New Roman" w:eastAsia="Times New Roman" w:hAnsi="Times New Roman" w:cs="Times New Roman"/>
          <w:noProof/>
          <w:lang w:val="sq-AL"/>
        </w:rPr>
      </w:pPr>
      <w:r w:rsidRPr="00B52EED">
        <w:rPr>
          <w:rFonts w:ascii="Times New Roman" w:eastAsia="Times New Roman" w:hAnsi="Times New Roman" w:cs="Times New Roman"/>
          <w:noProof/>
          <w:lang w:val="sq-AL"/>
        </w:rPr>
        <w:t xml:space="preserve">Përfundimisht, seminari i tretë u mbajt në 19 - 20 dhjetor 2018. Objektivi i përgjithshëm i seminarit ishte përcaktimi i roleve dhe përgjegjësive të palëve të interesuara dhe mbështetje praktike e nevojshme për të përmbushur kërkesat e Mbështetjes së Buxhetit të Sektorit. </w:t>
      </w:r>
    </w:p>
    <w:p w:rsidR="00221487" w:rsidRPr="00221487" w:rsidRDefault="00221487" w:rsidP="00221487">
      <w:pPr>
        <w:spacing w:after="0" w:line="240" w:lineRule="auto"/>
        <w:rPr>
          <w:rFonts w:ascii="Times New Roman" w:eastAsia="Times New Roman" w:hAnsi="Times New Roman" w:cs="Times New Roman"/>
          <w:noProof/>
          <w:lang w:val="sq-AL"/>
        </w:rPr>
      </w:pPr>
    </w:p>
    <w:p w:rsidR="00221487" w:rsidRPr="00221487" w:rsidRDefault="00221487" w:rsidP="00221487">
      <w:pPr>
        <w:keepNext/>
        <w:numPr>
          <w:ilvl w:val="0"/>
          <w:numId w:val="6"/>
        </w:numPr>
        <w:spacing w:after="0" w:line="240" w:lineRule="auto"/>
        <w:jc w:val="both"/>
        <w:outlineLvl w:val="0"/>
        <w:rPr>
          <w:rFonts w:ascii="Times New Roman Bold" w:eastAsia="Times" w:hAnsi="Times New Roman Bold" w:cs="Times New Roman"/>
          <w:b/>
          <w:bCs/>
          <w:noProof/>
          <w:color w:val="632423" w:themeColor="accent2" w:themeShade="80"/>
          <w:lang w:val="sq-AL"/>
        </w:rPr>
      </w:pPr>
      <w:bookmarkStart w:id="25" w:name="_Toc507758745"/>
      <w:bookmarkStart w:id="26" w:name="_Toc511836603"/>
      <w:r w:rsidRPr="00221487">
        <w:rPr>
          <w:rFonts w:ascii="Times New Roman Bold" w:eastAsia="Times" w:hAnsi="Times New Roman Bold" w:cs="Times New Roman"/>
          <w:b/>
          <w:bCs/>
          <w:noProof/>
          <w:color w:val="632423" w:themeColor="accent2" w:themeShade="80"/>
          <w:lang w:val="sq-AL"/>
        </w:rPr>
        <w:t xml:space="preserve"> </w:t>
      </w:r>
      <w:bookmarkStart w:id="27" w:name="_Toc3984456"/>
      <w:r w:rsidRPr="00221487">
        <w:rPr>
          <w:rFonts w:ascii="Times New Roman Bold" w:eastAsia="Times" w:hAnsi="Times New Roman Bold" w:cs="Times New Roman"/>
          <w:b/>
          <w:bCs/>
          <w:noProof/>
          <w:color w:val="632423" w:themeColor="accent2" w:themeShade="80"/>
          <w:lang w:val="sq-AL"/>
        </w:rPr>
        <w:t>PROGRESI I REFORMËS MFP PËR VITIN 201</w:t>
      </w:r>
      <w:bookmarkEnd w:id="25"/>
      <w:bookmarkEnd w:id="26"/>
      <w:r w:rsidRPr="00221487">
        <w:rPr>
          <w:rFonts w:ascii="Times New Roman Bold" w:eastAsia="Times" w:hAnsi="Times New Roman Bold" w:cs="Times New Roman"/>
          <w:b/>
          <w:bCs/>
          <w:noProof/>
          <w:color w:val="632423" w:themeColor="accent2" w:themeShade="80"/>
          <w:lang w:val="sq-AL"/>
        </w:rPr>
        <w:t>8</w:t>
      </w:r>
      <w:bookmarkEnd w:id="27"/>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keepNext/>
        <w:numPr>
          <w:ilvl w:val="1"/>
          <w:numId w:val="7"/>
        </w:numPr>
        <w:spacing w:after="0" w:line="240" w:lineRule="auto"/>
        <w:jc w:val="both"/>
        <w:outlineLvl w:val="1"/>
        <w:rPr>
          <w:rFonts w:ascii="Times New Roman" w:eastAsia="Times" w:hAnsi="Times New Roman" w:cs="Times New Roman"/>
          <w:b/>
          <w:bCs/>
          <w:noProof/>
          <w:lang w:val="sq-AL"/>
        </w:rPr>
      </w:pPr>
      <w:bookmarkStart w:id="28" w:name="_Toc507758746"/>
      <w:bookmarkStart w:id="29" w:name="_Toc511836604"/>
      <w:bookmarkStart w:id="30" w:name="_Toc3984457"/>
      <w:r w:rsidRPr="00221487">
        <w:rPr>
          <w:rFonts w:ascii="Times New Roman" w:eastAsia="Times" w:hAnsi="Times New Roman" w:cs="Times New Roman"/>
          <w:b/>
          <w:bCs/>
          <w:noProof/>
          <w:lang w:val="sq-AL"/>
        </w:rPr>
        <w:t xml:space="preserve">Shtylla 1- </w:t>
      </w:r>
      <w:bookmarkEnd w:id="28"/>
      <w:bookmarkEnd w:id="29"/>
      <w:bookmarkEnd w:id="30"/>
      <w:r w:rsidRPr="00221487">
        <w:rPr>
          <w:rFonts w:ascii="Times New Roman" w:eastAsia="Times" w:hAnsi="Times New Roman" w:cs="Times New Roman"/>
          <w:b/>
          <w:bCs/>
          <w:noProof/>
          <w:lang w:val="sq-AL"/>
        </w:rPr>
        <w:t>Kuadër fiskal i qëndrueshëm dhe i matur</w:t>
      </w:r>
    </w:p>
    <w:p w:rsidR="00221487" w:rsidRPr="00221487" w:rsidRDefault="00221487" w:rsidP="00221487">
      <w:pPr>
        <w:keepNext/>
        <w:spacing w:after="0" w:line="240" w:lineRule="auto"/>
        <w:ind w:left="540"/>
        <w:jc w:val="both"/>
        <w:outlineLvl w:val="1"/>
        <w:rPr>
          <w:rFonts w:ascii="Times New Roman" w:eastAsia="Times" w:hAnsi="Times New Roman" w:cs="Times New Roman"/>
          <w:b/>
          <w:bCs/>
          <w:noProof/>
          <w:lang w:val="sq-AL"/>
        </w:rPr>
      </w:pPr>
    </w:p>
    <w:p w:rsidR="00221487" w:rsidRPr="00221487" w:rsidRDefault="00221487" w:rsidP="00221487">
      <w:pPr>
        <w:keepNext/>
        <w:numPr>
          <w:ilvl w:val="2"/>
          <w:numId w:val="0"/>
        </w:numPr>
        <w:spacing w:after="0" w:line="240" w:lineRule="auto"/>
        <w:ind w:left="720" w:hanging="720"/>
        <w:jc w:val="both"/>
        <w:outlineLvl w:val="2"/>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Përmbledhje e ecurisë së Shtyllës 1</w:t>
      </w: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Kjo Shtyllë demonstron ecuri të mirë, ku tre nga katër treguesit e rezultateve dhe katër tregues rezultatesh janë përmbushur. </w:t>
      </w:r>
      <w:r w:rsidRPr="00221487">
        <w:rPr>
          <w:rFonts w:ascii="Times New Roman" w:eastAsia="Times New Roman" w:hAnsi="Times New Roman" w:cs="Times New Roman"/>
          <w:b/>
          <w:noProof/>
          <w:lang w:val="sq-AL"/>
        </w:rPr>
        <w:t>Objektivi i parë</w:t>
      </w:r>
      <w:r w:rsidRPr="00221487">
        <w:rPr>
          <w:rFonts w:ascii="Times New Roman" w:eastAsia="Times New Roman" w:hAnsi="Times New Roman" w:cs="Times New Roman"/>
          <w:noProof/>
          <w:lang w:val="sq-AL"/>
        </w:rPr>
        <w:t xml:space="preserve"> i Shtyllës është "</w:t>
      </w:r>
      <w:r w:rsidRPr="00221487">
        <w:rPr>
          <w:rFonts w:ascii="Times New Roman" w:eastAsia="Times New Roman" w:hAnsi="Times New Roman" w:cs="Times New Roman"/>
          <w:i/>
          <w:noProof/>
          <w:lang w:val="sq-AL"/>
        </w:rPr>
        <w:t>Kuadri i përgjegjësisë fiskale për menaxhimin fiskal të përcaktuar në kuadrin ligjor</w:t>
      </w:r>
      <w:r w:rsidRPr="00221487">
        <w:rPr>
          <w:rFonts w:ascii="Times New Roman" w:eastAsia="Times New Roman" w:hAnsi="Times New Roman" w:cs="Times New Roman"/>
          <w:noProof/>
          <w:lang w:val="sq-AL"/>
        </w:rPr>
        <w:t>". Treguesi i rezultatit është "</w:t>
      </w:r>
      <w:r w:rsidRPr="00221487">
        <w:rPr>
          <w:rFonts w:ascii="Times New Roman" w:eastAsia="Times New Roman" w:hAnsi="Times New Roman" w:cs="Times New Roman"/>
          <w:i/>
          <w:noProof/>
          <w:lang w:val="sq-AL"/>
        </w:rPr>
        <w:t>Raporti i borxhit në krahasim me PBB-në e planifikuar për çdo vit buxhetor dhe është më i ulët se raporti i vitit të kaluar, derisa raporti i borxhit arrin dhe mbetet nën 45% të PBB-së</w:t>
      </w:r>
      <w:r w:rsidRPr="00221487">
        <w:rPr>
          <w:rFonts w:ascii="Times New Roman" w:eastAsia="Times New Roman" w:hAnsi="Times New Roman" w:cs="Times New Roman"/>
          <w:noProof/>
          <w:lang w:val="sq-AL"/>
        </w:rPr>
        <w:t xml:space="preserve">". Vlera treguese prej 67.2% për vitin 2018 është në përputhje me tendencën e treguesve për vitet në vazhdim. Kështu, synimi për ët ulur tendencën është </w:t>
      </w:r>
      <w:r w:rsidRPr="00221487">
        <w:rPr>
          <w:rFonts w:ascii="Times New Roman" w:eastAsia="Times New Roman" w:hAnsi="Times New Roman" w:cs="Times New Roman"/>
          <w:b/>
          <w:noProof/>
          <w:lang w:val="sq-AL"/>
        </w:rPr>
        <w:t>përmbushur</w:t>
      </w:r>
      <w:r w:rsidRPr="00221487">
        <w:rPr>
          <w:rFonts w:ascii="Times New Roman" w:eastAsia="Times New Roman" w:hAnsi="Times New Roman" w:cs="Times New Roman"/>
          <w:noProof/>
          <w:lang w:val="sq-AL"/>
        </w:rPr>
        <w:t xml:space="preserve">. Deficiti vjetor është </w:t>
      </w:r>
      <w:r w:rsidRPr="00221487">
        <w:rPr>
          <w:rFonts w:ascii="Times New Roman" w:eastAsia="Times New Roman" w:hAnsi="Times New Roman" w:cs="Times New Roman"/>
          <w:i/>
          <w:noProof/>
          <w:lang w:val="sq-AL"/>
        </w:rPr>
        <w:t>dukshëm më i ulët se shpenzimet kapitale të planifikuara</w:t>
      </w:r>
      <w:r w:rsidRPr="00221487">
        <w:rPr>
          <w:rFonts w:ascii="Times New Roman" w:eastAsia="Times New Roman" w:hAnsi="Times New Roman" w:cs="Times New Roman"/>
          <w:noProof/>
          <w:lang w:val="sq-AL"/>
        </w:rPr>
        <w:t>.</w:t>
      </w:r>
    </w:p>
    <w:p w:rsidR="00221487" w:rsidRPr="00221487" w:rsidRDefault="00221487" w:rsidP="00221487">
      <w:pPr>
        <w:tabs>
          <w:tab w:val="left" w:pos="2235"/>
        </w:tabs>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ab/>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b/>
          <w:noProof/>
          <w:lang w:val="sq-AL"/>
        </w:rPr>
        <w:t>Objektivi i dytë i Shtyllës</w:t>
      </w:r>
      <w:r w:rsidRPr="00221487">
        <w:rPr>
          <w:rFonts w:ascii="Times New Roman" w:eastAsia="Times New Roman" w:hAnsi="Times New Roman" w:cs="Times New Roman"/>
          <w:noProof/>
          <w:lang w:val="sq-AL"/>
        </w:rPr>
        <w:t xml:space="preserve"> është "</w:t>
      </w:r>
      <w:r w:rsidRPr="00221487">
        <w:rPr>
          <w:rFonts w:ascii="Times New Roman" w:eastAsia="Times New Roman" w:hAnsi="Times New Roman" w:cs="Times New Roman"/>
          <w:i/>
          <w:noProof/>
          <w:lang w:val="sq-AL"/>
        </w:rPr>
        <w:t>Kuadro fiskalë të qendrueshëm dhe të kujdesshëm, bazuar në objektiva fiskalë të përcaktuar qartë në të cilat të mbështetet buxheti</w:t>
      </w:r>
      <w:r w:rsidRPr="00221487">
        <w:rPr>
          <w:rFonts w:ascii="Times New Roman" w:eastAsia="Times New Roman" w:hAnsi="Times New Roman" w:cs="Times New Roman"/>
          <w:noProof/>
          <w:lang w:val="sq-AL"/>
        </w:rPr>
        <w:t>". Treguesi i rezultatit "</w:t>
      </w:r>
      <w:r w:rsidRPr="00221487">
        <w:rPr>
          <w:rFonts w:ascii="Times New Roman" w:eastAsia="Times New Roman" w:hAnsi="Times New Roman" w:cs="Times New Roman"/>
          <w:i/>
          <w:noProof/>
          <w:lang w:val="sq-AL"/>
        </w:rPr>
        <w:t xml:space="preserve">PBB-ja nominale e parashikuar e përdorur në secilën fazë të planifikimit buxhetor nuk duhet të jetë më e lartë se PBB-ja nominale përkatëse në </w:t>
      </w:r>
      <w:r w:rsidRPr="00221487">
        <w:rPr>
          <w:rFonts w:ascii="Times New Roman" w:eastAsia="Times New Roman" w:hAnsi="Times New Roman" w:cs="Times New Roman"/>
          <w:i/>
          <w:noProof/>
          <w:lang w:val="sq-AL"/>
        </w:rPr>
        <w:lastRenderedPageBreak/>
        <w:t>Perspektivën Ekonomike Botërore, botuar nga FMN-ja</w:t>
      </w:r>
      <w:r w:rsidRPr="00221487">
        <w:rPr>
          <w:rFonts w:ascii="Times New Roman" w:eastAsia="Times New Roman" w:hAnsi="Times New Roman" w:cs="Times New Roman"/>
          <w:noProof/>
          <w:lang w:val="sq-AL"/>
        </w:rPr>
        <w:t xml:space="preserve">" u </w:t>
      </w:r>
      <w:r w:rsidRPr="00221487">
        <w:rPr>
          <w:rFonts w:ascii="Times New Roman" w:eastAsia="Times New Roman" w:hAnsi="Times New Roman" w:cs="Times New Roman"/>
          <w:b/>
          <w:noProof/>
          <w:lang w:val="sq-AL"/>
        </w:rPr>
        <w:t>arrit</w:t>
      </w:r>
      <w:r w:rsidRPr="00221487">
        <w:rPr>
          <w:rFonts w:ascii="Times New Roman" w:eastAsia="Times New Roman" w:hAnsi="Times New Roman" w:cs="Times New Roman"/>
          <w:noProof/>
          <w:lang w:val="sq-AL"/>
        </w:rPr>
        <w:t>, pasi PBB-ja nominale ishte 5.9 miliardë Lek - më pak se parashikimi i FMN-së.</w:t>
      </w:r>
    </w:p>
    <w:p w:rsidR="00221487" w:rsidRPr="00221487" w:rsidRDefault="00221487" w:rsidP="00221487">
      <w:pPr>
        <w:spacing w:after="0" w:line="240" w:lineRule="auto"/>
        <w:jc w:val="both"/>
        <w:rPr>
          <w:rFonts w:ascii="Times New Roman" w:eastAsia="Times New Roman" w:hAnsi="Times New Roman" w:cs="Times New Roman"/>
          <w:noProof/>
          <w:highlight w:val="yellow"/>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i/>
          <w:noProof/>
          <w:lang w:val="sq-AL"/>
        </w:rPr>
      </w:pPr>
      <w:r w:rsidRPr="00221487">
        <w:rPr>
          <w:rFonts w:ascii="Times New Roman" w:eastAsia="Times New Roman" w:hAnsi="Times New Roman" w:cs="Times New Roman"/>
          <w:noProof/>
          <w:lang w:val="sq-AL"/>
        </w:rPr>
        <w:t xml:space="preserve">Pasi u futën rregullat fiskale në LOB, janë bërë më shumë përpjekje për të zbatuar këto rregulla dhe parime. Në buxhetin e vitit 2019, si dhe në kuadrin fiskal 2019 - 2020, janë përfshirë seksione të veçanta që shpjegojnë pajtueshmërinë e plotë të këtyre dy akteve. </w:t>
      </w:r>
    </w:p>
    <w:p w:rsidR="00221487" w:rsidRPr="00221487" w:rsidRDefault="00221487" w:rsidP="00221487">
      <w:pPr>
        <w:spacing w:after="0" w:line="240" w:lineRule="auto"/>
        <w:jc w:val="both"/>
        <w:rPr>
          <w:rFonts w:ascii="Times New Roman" w:eastAsia="Times New Roman" w:hAnsi="Times New Roman" w:cs="Times New Roman"/>
          <w:noProof/>
          <w:highlight w:val="yellow"/>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Përsa i përket Llogarive Kombëtare, </w:t>
      </w:r>
      <w:r w:rsidRPr="00221487">
        <w:rPr>
          <w:rFonts w:ascii="Times New Roman" w:eastAsia="Times New Roman" w:hAnsi="Times New Roman" w:cs="Times New Roman"/>
          <w:b/>
          <w:noProof/>
          <w:lang w:val="sq-AL"/>
        </w:rPr>
        <w:t>objektivi i tretë i Shtyllës</w:t>
      </w:r>
      <w:r w:rsidRPr="00221487">
        <w:rPr>
          <w:rFonts w:ascii="Times New Roman" w:eastAsia="Times New Roman" w:hAnsi="Times New Roman" w:cs="Times New Roman"/>
          <w:noProof/>
          <w:lang w:val="sq-AL"/>
        </w:rPr>
        <w:t xml:space="preserve"> është "</w:t>
      </w:r>
      <w:r w:rsidRPr="00221487">
        <w:rPr>
          <w:rFonts w:ascii="Times New Roman" w:eastAsia="Times New Roman" w:hAnsi="Times New Roman" w:cs="Times New Roman"/>
          <w:i/>
          <w:noProof/>
          <w:lang w:val="sq-AL"/>
        </w:rPr>
        <w:t>Agjencia e pavarur statistikore nxjerr llogari kombëtare të besueshme dhe në kohë</w:t>
      </w:r>
      <w:r w:rsidRPr="00221487">
        <w:rPr>
          <w:rFonts w:ascii="Times New Roman" w:eastAsia="Times New Roman" w:hAnsi="Times New Roman" w:cs="Times New Roman"/>
          <w:noProof/>
          <w:lang w:val="sq-AL"/>
        </w:rPr>
        <w:t xml:space="preserve">". Treguesi i rezultatit "Përgatitja e Llogarive Kombëtare të Qeverisë sipas Sistemit Evropian të Llogarive (SELl) 2010", me një objektiv prej 50 për qind është </w:t>
      </w:r>
      <w:r w:rsidRPr="00221487">
        <w:rPr>
          <w:rFonts w:ascii="Times New Roman" w:eastAsia="Times New Roman" w:hAnsi="Times New Roman" w:cs="Times New Roman"/>
          <w:b/>
          <w:noProof/>
          <w:lang w:val="sq-AL"/>
        </w:rPr>
        <w:t>arritur</w:t>
      </w:r>
      <w:r w:rsidRPr="00221487">
        <w:rPr>
          <w:rFonts w:ascii="Times New Roman" w:eastAsia="Times New Roman" w:hAnsi="Times New Roman" w:cs="Times New Roman"/>
          <w:noProof/>
          <w:lang w:val="sq-AL"/>
        </w:rPr>
        <w:t xml:space="preserve"> në masën 50 përqind në vitin 2018. Gjatë vitit 2018, INSTAT, MFE dhe Banka e Shqipërisë BSH) vazhduan punën për transmetimin e statistikave SFQ përkatësisht: katër nga tetë tabela të kërkuara nga SELl: Tabela 2 Agregati kryesor i qeverisë qendrore; Tabela 9 Taksat dhe llogaritë e tjera të Kontributit Social; Lista e Taksave Kombëtare dhe Tabela 11 Shpenzimet sipas Funksionit. MFE transmetoi të gjitha (katër) tabelat pjesë e Buletinit të Statistikave të Financave të Qeverisë (BSFQ). BSH nuk ka transmetuar në lidhje me SFQ. Në vitin 2019 është planifikuar të dërgohen tre tabela të reja për Llogaritë Financiare.</w:t>
      </w:r>
    </w:p>
    <w:p w:rsidR="00221487" w:rsidRPr="00221487" w:rsidRDefault="00221487" w:rsidP="00221487">
      <w:pPr>
        <w:spacing w:after="0" w:line="240" w:lineRule="auto"/>
        <w:jc w:val="both"/>
        <w:rPr>
          <w:rFonts w:ascii="Times New Roman" w:eastAsia="Times New Roman" w:hAnsi="Times New Roman" w:cs="Times New Roman"/>
          <w:noProof/>
          <w:highlight w:val="yellow"/>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Menaxhimi i Riskut Fiskal është </w:t>
      </w:r>
      <w:r w:rsidRPr="00221487">
        <w:rPr>
          <w:rFonts w:ascii="Times New Roman" w:eastAsia="Times New Roman" w:hAnsi="Times New Roman" w:cs="Times New Roman"/>
          <w:b/>
          <w:noProof/>
          <w:lang w:val="sq-AL"/>
        </w:rPr>
        <w:t>objektivi i katërt</w:t>
      </w:r>
      <w:r w:rsidRPr="00221487">
        <w:rPr>
          <w:rFonts w:ascii="Times New Roman" w:eastAsia="Times New Roman" w:hAnsi="Times New Roman" w:cs="Times New Roman"/>
          <w:noProof/>
          <w:lang w:val="sq-AL"/>
        </w:rPr>
        <w:t>, dhe është "</w:t>
      </w:r>
      <w:r w:rsidRPr="00221487">
        <w:rPr>
          <w:rFonts w:ascii="Times New Roman" w:eastAsia="Times New Roman" w:hAnsi="Times New Roman" w:cs="Times New Roman"/>
          <w:i/>
          <w:noProof/>
          <w:lang w:val="sq-AL"/>
        </w:rPr>
        <w:t>Aftësi të mjaftueshme për të zbuluar, monitoruar dhe propozuar masa për të zbutur risqet fiskale me të cilat ballafaqohet qeveria</w:t>
      </w:r>
      <w:r w:rsidRPr="00221487">
        <w:rPr>
          <w:rFonts w:ascii="Times New Roman" w:eastAsia="Times New Roman" w:hAnsi="Times New Roman" w:cs="Times New Roman"/>
          <w:noProof/>
          <w:lang w:val="sq-AL"/>
        </w:rPr>
        <w:t>". Për vitin 2018, vlera e treguesit 80 përqind të kategorive të mbuluara nga Deklarata e Riskut Fiskal (DRF) në lidhje me treguesit e rezultateve "</w:t>
      </w:r>
      <w:r w:rsidRPr="00221487">
        <w:rPr>
          <w:rFonts w:ascii="Times New Roman" w:eastAsia="Times New Roman" w:hAnsi="Times New Roman" w:cs="Times New Roman"/>
          <w:i/>
          <w:noProof/>
          <w:lang w:val="sq-AL"/>
        </w:rPr>
        <w:t>Saktësia e evidentimit të risqeve dhe ndikimi i mundshëm i tyre, duke marrë parasysh masat zbutëse të zbatuara</w:t>
      </w:r>
      <w:r w:rsidRPr="00221487">
        <w:rPr>
          <w:rFonts w:ascii="Times New Roman" w:eastAsia="Times New Roman" w:hAnsi="Times New Roman" w:cs="Times New Roman"/>
          <w:noProof/>
          <w:lang w:val="sq-AL"/>
        </w:rPr>
        <w:t xml:space="preserve">" </w:t>
      </w:r>
      <w:r w:rsidRPr="00221487">
        <w:rPr>
          <w:rFonts w:ascii="Times New Roman" w:eastAsia="Times New Roman" w:hAnsi="Times New Roman" w:cs="Times New Roman"/>
          <w:b/>
          <w:noProof/>
          <w:lang w:val="sq-AL"/>
        </w:rPr>
        <w:t>është arritur</w:t>
      </w:r>
      <w:r w:rsidRPr="00221487">
        <w:rPr>
          <w:rFonts w:ascii="Times New Roman" w:eastAsia="Times New Roman" w:hAnsi="Times New Roman" w:cs="Times New Roman"/>
          <w:noProof/>
          <w:lang w:val="sq-AL"/>
        </w:rPr>
        <w:t>.</w:t>
      </w: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highlight w:val="yellow"/>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Në nivel aktiviteti, </w:t>
      </w:r>
      <w:r w:rsidRPr="00221487">
        <w:rPr>
          <w:rFonts w:ascii="Times New Roman" w:eastAsia="Times New Roman" w:hAnsi="Times New Roman" w:cs="Times New Roman"/>
          <w:b/>
          <w:noProof/>
          <w:lang w:val="sq-AL"/>
        </w:rPr>
        <w:t>kjo Shtyllë përbëhet nga shtatë masa, nga të cilat një është përfunduar</w:t>
      </w:r>
      <w:r w:rsidRPr="00221487">
        <w:rPr>
          <w:rFonts w:ascii="Times New Roman" w:eastAsia="Times New Roman" w:hAnsi="Times New Roman" w:cs="Times New Roman"/>
          <w:noProof/>
          <w:lang w:val="sq-AL"/>
        </w:rPr>
        <w:t xml:space="preserve"> dhe katër janë në proces (Grafiku 4).</w:t>
      </w: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b/>
          <w:bCs/>
          <w:noProof/>
          <w:lang w:val="sq-AL"/>
        </w:rPr>
      </w:pPr>
      <w:r w:rsidRPr="00221487">
        <w:rPr>
          <w:rFonts w:ascii="Times New Roman" w:eastAsia="Times New Roman" w:hAnsi="Times New Roman" w:cs="Times New Roman"/>
          <w:noProof/>
          <w:lang w:val="sq-AL"/>
        </w:rPr>
        <w:t>Grafiku 4: Shtylla 1- Kuadër fiskal i qëndrueshëm dhe i kujdesshëm</w:t>
      </w:r>
    </w:p>
    <w:tbl>
      <w:tblPr>
        <w:tblW w:w="9038" w:type="dxa"/>
        <w:tblBorders>
          <w:top w:val="single" w:sz="4" w:space="0" w:color="auto"/>
          <w:bottom w:val="single" w:sz="4" w:space="0" w:color="auto"/>
        </w:tblBorders>
        <w:tblLayout w:type="fixed"/>
        <w:tblLook w:val="04A0" w:firstRow="1" w:lastRow="0" w:firstColumn="1" w:lastColumn="0" w:noHBand="0" w:noVBand="1"/>
      </w:tblPr>
      <w:tblGrid>
        <w:gridCol w:w="6062"/>
        <w:gridCol w:w="2976"/>
      </w:tblGrid>
      <w:tr w:rsidR="00221487" w:rsidRPr="00221487" w:rsidTr="004342D7">
        <w:trPr>
          <w:trHeight w:val="3302"/>
        </w:trPr>
        <w:tc>
          <w:tcPr>
            <w:tcW w:w="6062" w:type="dxa"/>
          </w:tcPr>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Statusi i aktiviteteve për vitin 2018</w:t>
            </w:r>
          </w:p>
          <w:p w:rsidR="00221487" w:rsidRPr="00221487" w:rsidRDefault="00221487" w:rsidP="00221487">
            <w:pPr>
              <w:spacing w:after="0" w:line="240" w:lineRule="auto"/>
              <w:jc w:val="both"/>
              <w:rPr>
                <w:rFonts w:ascii="Times New Roman" w:eastAsia="Times" w:hAnsi="Times New Roman" w:cs="Times New Roman"/>
                <w:noProof/>
                <w:highlight w:val="yellow"/>
                <w:lang w:val="sq-AL"/>
              </w:rPr>
            </w:pPr>
            <w:r w:rsidRPr="00221487">
              <w:rPr>
                <w:rFonts w:ascii="Times New Roman" w:eastAsia="Times New Roman" w:hAnsi="Times New Roman" w:cs="Times New Roman"/>
                <w:noProof/>
              </w:rPr>
              <w:drawing>
                <wp:inline distT="0" distB="0" distL="0" distR="0" wp14:anchorId="485A424F" wp14:editId="49AE9CE7">
                  <wp:extent cx="3343275" cy="1676400"/>
                  <wp:effectExtent l="0" t="0" r="9525" b="1905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c>
          <w:tcPr>
            <w:tcW w:w="2976" w:type="dxa"/>
          </w:tcPr>
          <w:p w:rsidR="00221487" w:rsidRPr="00221487" w:rsidRDefault="00221487" w:rsidP="00221487">
            <w:pPr>
              <w:spacing w:after="0" w:line="240" w:lineRule="auto"/>
              <w:jc w:val="both"/>
              <w:rPr>
                <w:rFonts w:ascii="Times New Roman" w:eastAsia="Times" w:hAnsi="Times New Roman" w:cs="Times New Roman"/>
                <w:noProof/>
                <w:highlight w:val="yellow"/>
                <w:lang w:val="sq-AL"/>
              </w:rPr>
            </w:pPr>
          </w:p>
          <w:p w:rsidR="00221487" w:rsidRPr="00221487" w:rsidRDefault="00221487" w:rsidP="00221487">
            <w:pPr>
              <w:spacing w:after="0" w:line="240" w:lineRule="auto"/>
              <w:jc w:val="both"/>
              <w:rPr>
                <w:rFonts w:ascii="Times New Roman" w:eastAsia="Times" w:hAnsi="Times New Roman" w:cs="Times New Roman"/>
                <w:noProof/>
                <w:highlight w:val="yellow"/>
                <w:lang w:val="sq-AL"/>
              </w:rPr>
            </w:pPr>
          </w:p>
          <w:p w:rsidR="00221487" w:rsidRPr="00221487" w:rsidRDefault="00221487" w:rsidP="00221487">
            <w:pPr>
              <w:spacing w:after="0" w:line="240" w:lineRule="auto"/>
              <w:jc w:val="both"/>
              <w:rPr>
                <w:rFonts w:ascii="Times New Roman" w:eastAsia="Times" w:hAnsi="Times New Roman" w:cs="Times New Roman"/>
                <w:noProof/>
                <w:highlight w:val="yellow"/>
                <w:lang w:val="sq-AL"/>
              </w:rPr>
            </w:pPr>
          </w:p>
          <w:p w:rsidR="00221487" w:rsidRPr="00221487" w:rsidRDefault="00221487" w:rsidP="00221487">
            <w:pPr>
              <w:spacing w:after="0" w:line="240" w:lineRule="auto"/>
              <w:jc w:val="both"/>
              <w:rPr>
                <w:rFonts w:ascii="Times New Roman" w:eastAsia="Times" w:hAnsi="Times New Roman" w:cs="Times New Roman"/>
                <w:noProof/>
                <w:highlight w:val="yellow"/>
                <w:lang w:val="sq-AL"/>
              </w:rPr>
            </w:pPr>
          </w:p>
          <w:tbl>
            <w:tblPr>
              <w:tblW w:w="2156" w:type="dxa"/>
              <w:tblLayout w:type="fixed"/>
              <w:tblLook w:val="04A0" w:firstRow="1" w:lastRow="0" w:firstColumn="1" w:lastColumn="0" w:noHBand="0" w:noVBand="1"/>
            </w:tblPr>
            <w:tblGrid>
              <w:gridCol w:w="1920"/>
              <w:gridCol w:w="236"/>
            </w:tblGrid>
            <w:tr w:rsidR="00221487" w:rsidRPr="00221487" w:rsidTr="004342D7">
              <w:trPr>
                <w:trHeight w:val="315"/>
              </w:trPr>
              <w:tc>
                <w:tcPr>
                  <w:tcW w:w="2156" w:type="dxa"/>
                  <w:gridSpan w:val="2"/>
                  <w:tcBorders>
                    <w:top w:val="nil"/>
                    <w:left w:val="nil"/>
                    <w:bottom w:val="single" w:sz="8" w:space="0" w:color="auto"/>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lang w:val="sq-AL" w:eastAsia="sq-AL"/>
                    </w:rPr>
                  </w:pPr>
                  <w:r w:rsidRPr="00221487">
                    <w:rPr>
                      <w:rFonts w:ascii="Times New Roman" w:eastAsia="Times New Roman" w:hAnsi="Times New Roman" w:cs="Times New Roman"/>
                      <w:noProof/>
                      <w:lang w:val="sq-AL" w:eastAsia="sq-AL"/>
                    </w:rPr>
                    <w:t>Nr i aktiviteteve</w:t>
                  </w:r>
                </w:p>
              </w:tc>
            </w:tr>
            <w:tr w:rsidR="00221487" w:rsidRPr="00221487" w:rsidTr="004342D7">
              <w:trPr>
                <w:trHeight w:val="315"/>
              </w:trPr>
              <w:tc>
                <w:tcPr>
                  <w:tcW w:w="1943" w:type="dxa"/>
                  <w:tcBorders>
                    <w:top w:val="nil"/>
                    <w:left w:val="nil"/>
                    <w:bottom w:val="nil"/>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lang w:val="sq-AL" w:eastAsia="sq-AL"/>
                    </w:rPr>
                  </w:pPr>
                  <w:r w:rsidRPr="00221487">
                    <w:rPr>
                      <w:rFonts w:ascii="Times New Roman" w:eastAsia="Times New Roman" w:hAnsi="Times New Roman" w:cs="Times New Roman"/>
                      <w:noProof/>
                      <w:lang w:val="sq-AL" w:eastAsia="sq-AL"/>
                    </w:rPr>
                    <w:t>Të plotësuara</w:t>
                  </w:r>
                </w:p>
              </w:tc>
              <w:tc>
                <w:tcPr>
                  <w:tcW w:w="213" w:type="dxa"/>
                  <w:tcBorders>
                    <w:top w:val="nil"/>
                    <w:left w:val="nil"/>
                    <w:bottom w:val="nil"/>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lang w:val="sq-AL" w:eastAsia="sq-AL"/>
                    </w:rPr>
                  </w:pPr>
                  <w:r w:rsidRPr="00221487">
                    <w:rPr>
                      <w:rFonts w:ascii="Times New Roman" w:eastAsia="Times New Roman" w:hAnsi="Times New Roman" w:cs="Times New Roman"/>
                      <w:noProof/>
                      <w:lang w:val="sq-AL" w:eastAsia="sq-AL"/>
                    </w:rPr>
                    <w:t>1</w:t>
                  </w:r>
                </w:p>
              </w:tc>
            </w:tr>
            <w:tr w:rsidR="00221487" w:rsidRPr="00221487" w:rsidTr="004342D7">
              <w:trPr>
                <w:trHeight w:val="300"/>
              </w:trPr>
              <w:tc>
                <w:tcPr>
                  <w:tcW w:w="1943" w:type="dxa"/>
                  <w:tcBorders>
                    <w:top w:val="nil"/>
                    <w:left w:val="nil"/>
                    <w:bottom w:val="nil"/>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lang w:val="sq-AL" w:eastAsia="sq-AL"/>
                    </w:rPr>
                  </w:pPr>
                  <w:r w:rsidRPr="00221487">
                    <w:rPr>
                      <w:rFonts w:ascii="Times New Roman" w:eastAsia="Times New Roman" w:hAnsi="Times New Roman" w:cs="Times New Roman"/>
                      <w:noProof/>
                      <w:lang w:val="sq-AL" w:eastAsia="sq-AL"/>
                    </w:rPr>
                    <w:t>Në proces</w:t>
                  </w:r>
                </w:p>
              </w:tc>
              <w:tc>
                <w:tcPr>
                  <w:tcW w:w="213" w:type="dxa"/>
                  <w:tcBorders>
                    <w:top w:val="nil"/>
                    <w:left w:val="nil"/>
                    <w:bottom w:val="nil"/>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lang w:val="sq-AL" w:eastAsia="sq-AL"/>
                    </w:rPr>
                  </w:pPr>
                  <w:r w:rsidRPr="00221487">
                    <w:rPr>
                      <w:rFonts w:ascii="Times New Roman" w:eastAsia="Times New Roman" w:hAnsi="Times New Roman" w:cs="Times New Roman"/>
                      <w:noProof/>
                      <w:lang w:val="sq-AL" w:eastAsia="sq-AL"/>
                    </w:rPr>
                    <w:t>4</w:t>
                  </w:r>
                </w:p>
              </w:tc>
            </w:tr>
            <w:tr w:rsidR="00221487" w:rsidRPr="00221487" w:rsidTr="004342D7">
              <w:trPr>
                <w:trHeight w:val="315"/>
              </w:trPr>
              <w:tc>
                <w:tcPr>
                  <w:tcW w:w="1943" w:type="dxa"/>
                  <w:tcBorders>
                    <w:top w:val="nil"/>
                    <w:left w:val="nil"/>
                    <w:bottom w:val="single" w:sz="8" w:space="0" w:color="auto"/>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lang w:val="sq-AL" w:eastAsia="sq-AL"/>
                    </w:rPr>
                  </w:pPr>
                  <w:r w:rsidRPr="00221487">
                    <w:rPr>
                      <w:rFonts w:ascii="Times New Roman" w:eastAsia="Times New Roman" w:hAnsi="Times New Roman" w:cs="Times New Roman"/>
                      <w:noProof/>
                      <w:lang w:val="sq-AL" w:eastAsia="sq-AL"/>
                    </w:rPr>
                    <w:t>Nuk kanë filluar</w:t>
                  </w:r>
                </w:p>
              </w:tc>
              <w:tc>
                <w:tcPr>
                  <w:tcW w:w="213" w:type="dxa"/>
                  <w:tcBorders>
                    <w:top w:val="nil"/>
                    <w:left w:val="nil"/>
                    <w:bottom w:val="single" w:sz="8" w:space="0" w:color="auto"/>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lang w:val="sq-AL" w:eastAsia="sq-AL"/>
                    </w:rPr>
                  </w:pPr>
                  <w:r w:rsidRPr="00221487">
                    <w:rPr>
                      <w:rFonts w:ascii="Times New Roman" w:eastAsia="Times New Roman" w:hAnsi="Times New Roman" w:cs="Times New Roman"/>
                      <w:noProof/>
                      <w:lang w:val="sq-AL" w:eastAsia="sq-AL"/>
                    </w:rPr>
                    <w:t>0</w:t>
                  </w:r>
                </w:p>
              </w:tc>
            </w:tr>
            <w:tr w:rsidR="00221487" w:rsidRPr="00221487" w:rsidTr="004342D7">
              <w:trPr>
                <w:trHeight w:val="315"/>
              </w:trPr>
              <w:tc>
                <w:tcPr>
                  <w:tcW w:w="1943" w:type="dxa"/>
                  <w:tcBorders>
                    <w:top w:val="nil"/>
                    <w:left w:val="nil"/>
                    <w:bottom w:val="nil"/>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lang w:val="sq-AL" w:eastAsia="sq-AL"/>
                    </w:rPr>
                  </w:pPr>
                </w:p>
              </w:tc>
              <w:tc>
                <w:tcPr>
                  <w:tcW w:w="213" w:type="dxa"/>
                  <w:tcBorders>
                    <w:top w:val="nil"/>
                    <w:left w:val="nil"/>
                    <w:bottom w:val="nil"/>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lang w:val="sq-AL" w:eastAsia="sq-AL"/>
                    </w:rPr>
                  </w:pPr>
                  <w:r w:rsidRPr="00221487">
                    <w:rPr>
                      <w:rFonts w:ascii="Times New Roman" w:eastAsia="Times New Roman" w:hAnsi="Times New Roman" w:cs="Times New Roman"/>
                      <w:noProof/>
                      <w:lang w:val="sq-AL" w:eastAsia="sq-AL"/>
                    </w:rPr>
                    <w:t>5</w:t>
                  </w:r>
                </w:p>
              </w:tc>
            </w:tr>
          </w:tbl>
          <w:p w:rsidR="00221487" w:rsidRPr="00221487" w:rsidRDefault="00221487" w:rsidP="00221487">
            <w:pPr>
              <w:spacing w:after="0" w:line="240" w:lineRule="auto"/>
              <w:jc w:val="both"/>
              <w:rPr>
                <w:rFonts w:ascii="Times New Roman" w:eastAsia="Times" w:hAnsi="Times New Roman" w:cs="Times New Roman"/>
                <w:noProof/>
                <w:highlight w:val="yellow"/>
                <w:lang w:val="sq-AL"/>
              </w:rPr>
            </w:pPr>
          </w:p>
          <w:p w:rsidR="00221487" w:rsidRPr="00221487" w:rsidRDefault="00221487" w:rsidP="00221487">
            <w:pPr>
              <w:spacing w:after="0" w:line="240" w:lineRule="auto"/>
              <w:jc w:val="both"/>
              <w:rPr>
                <w:rFonts w:ascii="Times New Roman" w:eastAsia="Times" w:hAnsi="Times New Roman" w:cs="Times New Roman"/>
                <w:noProof/>
                <w:highlight w:val="yellow"/>
                <w:lang w:val="sq-AL"/>
              </w:rPr>
            </w:pPr>
          </w:p>
        </w:tc>
      </w:tr>
    </w:tbl>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b/>
          <w:noProof/>
          <w:lang w:val="sq-AL"/>
        </w:rPr>
        <w:t>Rezultatet dhe sfidat</w:t>
      </w:r>
      <w:r w:rsidRPr="00221487">
        <w:rPr>
          <w:rFonts w:ascii="Times New Roman" w:eastAsia="Times New Roman" w:hAnsi="Times New Roman" w:cs="Times New Roman"/>
          <w:noProof/>
          <w:lang w:val="sq-AL"/>
        </w:rPr>
        <w:t xml:space="preserve"> e dukshme në krahasim me masat janë si vijon:</w:t>
      </w: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Përmirësimi i metodologjive të parashikimit (përfunduar): Gjatë 2015-2018, Drejtoria Makroekonimike ka pasur mbështetjen e Programit të AT përmes financimit zviceran (SSHZÇE) për përmirësimin e aftësive të parashikimit dhe forcimin e politikëbërjes të bazuar në prova. Programi do të përfundojë në tremujorin e parë të vitit 2019. Një konsulent ndërkombëtar ka zhvillluar një mjet të programimit financiar së bashku me pjesëmarrësit nga MFE-ja, Banka e Shqipërisë dhe INSTAT-i, çka ka ngritur një grup të stabilizuar e koherent </w:t>
      </w:r>
      <w:r w:rsidRPr="00221487">
        <w:rPr>
          <w:rFonts w:ascii="Times New Roman" w:eastAsia="Times New Roman" w:hAnsi="Times New Roman" w:cs="Times New Roman"/>
          <w:noProof/>
          <w:lang w:val="sq-AL"/>
        </w:rPr>
        <w:lastRenderedPageBreak/>
        <w:t xml:space="preserve">pjesëmarrësish në seancat e rregullta të trajnimit. Dy misione trajnimi u mbajtën përkatësisht në prill dhe shtator 2018. </w:t>
      </w: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bCs/>
          <w:noProof/>
          <w:lang w:val="sq-AL"/>
        </w:rPr>
      </w:pPr>
      <w:r w:rsidRPr="00221487">
        <w:rPr>
          <w:rFonts w:ascii="Times New Roman" w:eastAsia="Times New Roman" w:hAnsi="Times New Roman" w:cs="Times New Roman"/>
          <w:noProof/>
          <w:lang w:val="sq-AL"/>
        </w:rPr>
        <w:t>"</w:t>
      </w:r>
      <w:r w:rsidRPr="00221487">
        <w:rPr>
          <w:rFonts w:ascii="Times New Roman" w:eastAsia="Times New Roman" w:hAnsi="Times New Roman" w:cs="Times New Roman"/>
          <w:i/>
          <w:noProof/>
          <w:lang w:val="sq-AL"/>
        </w:rPr>
        <w:t>Forcimi i kapacitetit të INSTAT-it në fushën e llogarive të qeverisë" (në proces/sipas planit</w:t>
      </w:r>
      <w:r w:rsidRPr="00221487">
        <w:rPr>
          <w:rFonts w:ascii="Times New Roman" w:eastAsia="Times New Roman" w:hAnsi="Times New Roman" w:cs="Times New Roman"/>
          <w:noProof/>
          <w:lang w:val="sq-AL"/>
        </w:rPr>
        <w:t>), mbështetur nga SSHZÇE nëpërmjet FMN-së: INSTAT-i ka vazhduar përpjekjet për të forcuar kapacitetet në fushën e llogarive të qeverisë.</w:t>
      </w:r>
      <w:r w:rsidRPr="00221487">
        <w:rPr>
          <w:rFonts w:ascii="Times New Roman" w:eastAsia="Times New Roman" w:hAnsi="Times New Roman" w:cs="Times New Roman"/>
          <w:b/>
          <w:noProof/>
          <w:lang w:val="sq-AL"/>
        </w:rPr>
        <w:t xml:space="preserve"> </w:t>
      </w:r>
      <w:r w:rsidRPr="00221487">
        <w:rPr>
          <w:rFonts w:ascii="Times New Roman" w:eastAsia="Times New Roman" w:hAnsi="Times New Roman" w:cs="Times New Roman"/>
          <w:noProof/>
          <w:lang w:val="sq-AL"/>
        </w:rPr>
        <w:t>Një listë e përditësuar</w:t>
      </w:r>
      <w:r w:rsidRPr="00221487">
        <w:rPr>
          <w:rFonts w:ascii="Times New Roman" w:eastAsia="Times New Roman" w:hAnsi="Times New Roman" w:cs="Times New Roman"/>
          <w:b/>
          <w:noProof/>
          <w:lang w:val="sq-AL"/>
        </w:rPr>
        <w:t xml:space="preserve"> </w:t>
      </w:r>
      <w:r w:rsidRPr="00221487">
        <w:rPr>
          <w:rFonts w:ascii="Times New Roman" w:eastAsia="Times New Roman" w:hAnsi="Times New Roman" w:cs="Times New Roman"/>
          <w:noProof/>
          <w:lang w:val="sq-AL"/>
        </w:rPr>
        <w:t xml:space="preserve">me kategorizimin e njësive insitutcionale (NjI) u botua në faqen e internetit të INSTAT-it në shtator 2018 dhe do të përditësohet rregullisht për të siguruar transparencë për përdoruesit. Për herë të parë në vitin </w:t>
      </w:r>
      <w:r w:rsidRPr="00221487">
        <w:rPr>
          <w:rFonts w:ascii="Times New Roman" w:eastAsia="Times New Roman" w:hAnsi="Times New Roman" w:cs="Times New Roman"/>
          <w:bCs/>
          <w:noProof/>
          <w:lang w:val="sq-AL"/>
        </w:rPr>
        <w:t>2018, INSTAT-i përgatiti dhe transmetoi një tabelë eksperimentale 11 (Shpenzimet e qeverisë sipas funksioneve) për vitin 2017. Deri në dhjetor 2018, 4 nga 8 tabelat e SFQ i ishin dërguar EUROSTAT-it.</w:t>
      </w: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w:hAnsi="Times New Roman" w:cs="Times New Roman"/>
          <w:noProof/>
          <w:highlight w:val="yellow"/>
          <w:lang w:val="sq-AL"/>
        </w:rPr>
      </w:pPr>
      <w:r w:rsidRPr="00221487">
        <w:rPr>
          <w:rFonts w:ascii="Times New Roman" w:eastAsia="Times" w:hAnsi="Times New Roman" w:cs="Times New Roman"/>
          <w:i/>
          <w:noProof/>
          <w:lang w:val="sq-AL"/>
        </w:rPr>
        <w:t xml:space="preserve">Forcimi i menaxhimit dhe raportimit të riskut fiskal brenda MFE-së (në proces/i vonuar): </w:t>
      </w:r>
      <w:r w:rsidRPr="00221487">
        <w:rPr>
          <w:rFonts w:ascii="Times New Roman" w:eastAsia="Times" w:hAnsi="Times New Roman" w:cs="Times New Roman"/>
          <w:noProof/>
          <w:lang w:val="sq-AL"/>
        </w:rPr>
        <w:t xml:space="preserve">Gjatë vitit 2018, MFE konsolidoi informacionin relatues dhe atë analitik në lidhje me matricën e risqeve kryesore, duke u përqendruar posaçërisht rek risqet që lidhen me treguesit makro, SOE-të, PPP-të, pagesat e reja të prapambetura dhe vendimet gjyqësore. PRF u përfundua në një raport të vetëm. Në 26 tetor 2018, u miratua nga Këshilli i Ministrave dhe u dërgua zyrtarisht në Kuvend, si dhe u botua në faqen e internetit të MFE-së. </w:t>
      </w:r>
    </w:p>
    <w:p w:rsidR="00221487" w:rsidRPr="00221487" w:rsidRDefault="00221487" w:rsidP="00221487">
      <w:pPr>
        <w:spacing w:after="0" w:line="240" w:lineRule="auto"/>
        <w:jc w:val="both"/>
        <w:rPr>
          <w:rFonts w:ascii="Times New Roman" w:eastAsia="Times" w:hAnsi="Times New Roman" w:cs="Times New Roman"/>
          <w:noProof/>
          <w:lang w:val="sq-AL"/>
        </w:rPr>
      </w:pPr>
    </w:p>
    <w:p w:rsidR="00221487" w:rsidRPr="00526126" w:rsidRDefault="00221487" w:rsidP="00221487">
      <w:pPr>
        <w:keepNext/>
        <w:numPr>
          <w:ilvl w:val="2"/>
          <w:numId w:val="0"/>
        </w:numPr>
        <w:spacing w:after="0" w:line="240" w:lineRule="auto"/>
        <w:ind w:left="720" w:hanging="720"/>
        <w:jc w:val="both"/>
        <w:outlineLvl w:val="2"/>
        <w:rPr>
          <w:rFonts w:ascii="Times New Roman" w:eastAsia="Times" w:hAnsi="Times New Roman" w:cs="Times New Roman"/>
          <w:noProof/>
          <w:lang w:val="sq-AL"/>
        </w:rPr>
      </w:pPr>
      <w:r w:rsidRPr="00221487">
        <w:rPr>
          <w:rFonts w:ascii="Times New Roman" w:eastAsia="Times" w:hAnsi="Times New Roman" w:cs="Times New Roman"/>
          <w:noProof/>
          <w:lang w:val="sq-AL"/>
        </w:rPr>
        <w:t>Rregullat fiskale, parashikimi dhe kuadri i përgjegjësisë  fiskale</w:t>
      </w:r>
    </w:p>
    <w:tbl>
      <w:tblPr>
        <w:tblW w:w="0" w:type="auto"/>
        <w:tblInd w:w="108"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ook w:val="04A0" w:firstRow="1" w:lastRow="0" w:firstColumn="1" w:lastColumn="0" w:noHBand="0" w:noVBand="1"/>
      </w:tblPr>
      <w:tblGrid>
        <w:gridCol w:w="2340"/>
        <w:gridCol w:w="3150"/>
        <w:gridCol w:w="3780"/>
      </w:tblGrid>
      <w:tr w:rsidR="00221487" w:rsidRPr="00221487" w:rsidTr="004342D7">
        <w:tc>
          <w:tcPr>
            <w:tcW w:w="9270" w:type="dxa"/>
            <w:gridSpan w:val="3"/>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 xml:space="preserve">Objektivi </w:t>
            </w:r>
          </w:p>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Kuadri i përgjegjësisë fiskale për menaxhimin fiskal i përcaktuar në kuadrin ligjor</w:t>
            </w:r>
          </w:p>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Treguesi i rezultatit</w:t>
            </w:r>
          </w:p>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Raporti borxh – PBB i planifikuar për çdo vit buxhetor është më i ulët se sa raporti për vitin e kaluar, derisa raporti i borxhit arrin dhe ngelet nën 45% të PBB-së”</w:t>
            </w:r>
          </w:p>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Vlera e treguesit</w:t>
            </w:r>
          </w:p>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 xml:space="preserve">Vlera e synuar për vitin 2018 </w:t>
            </w:r>
            <w:r w:rsidRPr="00221487">
              <w:rPr>
                <w:rFonts w:ascii="Times New Roman" w:eastAsia="Times" w:hAnsi="Times New Roman" w:cs="Times New Roman"/>
                <w:b/>
                <w:noProof/>
                <w:lang w:val="sq-AL"/>
              </w:rPr>
              <w:t>u arrit</w:t>
            </w:r>
            <w:r w:rsidRPr="00221487">
              <w:rPr>
                <w:rFonts w:ascii="Times New Roman" w:eastAsia="Times" w:hAnsi="Times New Roman" w:cs="Times New Roman"/>
                <w:noProof/>
                <w:lang w:val="sq-AL"/>
              </w:rPr>
              <w:t xml:space="preserve"> pasi është prezent tendenca në rënie në krahasim me vitin </w:t>
            </w:r>
          </w:p>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2017.</w:t>
            </w:r>
          </w:p>
        </w:tc>
      </w:tr>
      <w:tr w:rsidR="00221487" w:rsidRPr="00221487" w:rsidTr="004342D7">
        <w:trPr>
          <w:trHeight w:val="261"/>
        </w:trPr>
        <w:tc>
          <w:tcPr>
            <w:tcW w:w="2340" w:type="dxa"/>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Baza (2013)</w:t>
            </w:r>
          </w:p>
        </w:tc>
        <w:tc>
          <w:tcPr>
            <w:tcW w:w="3150" w:type="dxa"/>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 xml:space="preserve">            2018</w:t>
            </w:r>
          </w:p>
        </w:tc>
        <w:tc>
          <w:tcPr>
            <w:tcW w:w="3780" w:type="dxa"/>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Synimi për vitin 2020</w:t>
            </w:r>
          </w:p>
        </w:tc>
      </w:tr>
      <w:tr w:rsidR="00221487" w:rsidRPr="00221487" w:rsidTr="004342D7">
        <w:trPr>
          <w:trHeight w:val="198"/>
        </w:trPr>
        <w:tc>
          <w:tcPr>
            <w:tcW w:w="2340" w:type="dxa"/>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70%</w:t>
            </w:r>
          </w:p>
        </w:tc>
        <w:tc>
          <w:tcPr>
            <w:tcW w:w="3150" w:type="dxa"/>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 xml:space="preserve">            67.2%</w:t>
            </w:r>
            <w:r w:rsidRPr="00221487">
              <w:rPr>
                <w:rFonts w:ascii="Times New Roman" w:eastAsia="Times" w:hAnsi="Times New Roman" w:cs="Times New Roman"/>
                <w:noProof/>
                <w:vertAlign w:val="superscript"/>
                <w:lang w:val="sq-AL"/>
              </w:rPr>
              <w:footnoteReference w:id="9"/>
            </w:r>
          </w:p>
        </w:tc>
        <w:tc>
          <w:tcPr>
            <w:tcW w:w="3780" w:type="dxa"/>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Tendencë në rënie</w:t>
            </w:r>
          </w:p>
        </w:tc>
      </w:tr>
    </w:tbl>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 xml:space="preserve">Komponenti përfundoi në vitin 2016 me prezantimin e rregullave fiskalë në Ligjin Organik të Buxhetit (LOB). Megjithatë, puna dhe përpjekjet për zbatimin e këtyre rregullave dhe parimeve vazhdojnë. Në buxhetin e vitit 2019, po ashtu edhe në kuadrin fiskal 2020-2022, janë përfshirë seksione të veçanta që shpjegojnë përputhshmërinë e plotë të këtyre dy akteve me parime dhe rregullat përkatës janë përcaktuar në LOB nr. 57/2016. </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Konsolidimi fiskal ka për qëllim arritjen e një raporti borxh ndaj PBB që vazhdon trajektoren e rënies, si ka nisur në vitin 2016. </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Në përputhje të plotë me detyrimet që rrjedhin nga Ligji Organik i Buxhetit nr. 57/2016, kuadri fiskal 2020-2022 materializon parimet dhe regullat e mëposhtëm fiskalë:</w:t>
      </w:r>
    </w:p>
    <w:tbl>
      <w:tblPr>
        <w:tblStyle w:val="TableGrid"/>
        <w:tblW w:w="0" w:type="auto"/>
        <w:shd w:val="clear" w:color="auto" w:fill="FFFFFF" w:themeFill="background1"/>
        <w:tblLook w:val="04A0" w:firstRow="1" w:lastRow="0" w:firstColumn="1" w:lastColumn="0" w:noHBand="0" w:noVBand="1"/>
      </w:tblPr>
      <w:tblGrid>
        <w:gridCol w:w="9800"/>
      </w:tblGrid>
      <w:tr w:rsidR="00221487" w:rsidRPr="005B32A4" w:rsidTr="004342D7">
        <w:tc>
          <w:tcPr>
            <w:tcW w:w="9800" w:type="dxa"/>
            <w:shd w:val="clear" w:color="auto" w:fill="FFFFFF" w:themeFill="background1"/>
          </w:tcPr>
          <w:p w:rsidR="00221487" w:rsidRPr="00221487" w:rsidRDefault="00221487" w:rsidP="007C6F79">
            <w:pPr>
              <w:numPr>
                <w:ilvl w:val="0"/>
                <w:numId w:val="23"/>
              </w:numPr>
              <w:shd w:val="clear" w:color="auto" w:fill="D9D9D9" w:themeFill="background1" w:themeFillShade="D9"/>
              <w:contextualSpacing/>
              <w:jc w:val="both"/>
              <w:rPr>
                <w:noProof/>
                <w:lang w:val="sq-AL"/>
              </w:rPr>
            </w:pPr>
            <w:r w:rsidRPr="00221487">
              <w:rPr>
                <w:i/>
                <w:noProof/>
                <w:lang w:val="sq-AL"/>
              </w:rPr>
              <w:t xml:space="preserve">Në secilin ligj vjetor të buxhetit, origjinal apo të rishikuar, si dhe në planifikimin buxhetor afatmesëm, raporti i borxhit publik ndaj PBB-së planifikohet më i ulët se niveli i parashikuar i një viti më parë, derisa niveli i borxhit të arrijë dhe të mbetet nën pragun e 45% të PBB-së. </w:t>
            </w:r>
          </w:p>
          <w:p w:rsidR="00221487" w:rsidRPr="00221487" w:rsidRDefault="00221487" w:rsidP="00221487">
            <w:pPr>
              <w:shd w:val="clear" w:color="auto" w:fill="D9D9D9" w:themeFill="background1" w:themeFillShade="D9"/>
              <w:jc w:val="both"/>
              <w:rPr>
                <w:noProof/>
                <w:lang w:val="sq-AL"/>
              </w:rPr>
            </w:pPr>
            <w:r w:rsidRPr="00221487">
              <w:rPr>
                <w:noProof/>
                <w:lang w:val="sq-AL"/>
              </w:rPr>
              <w:t>Në përputhje me këtë dispozitë (rregull fiskal) të LOB, kuadri fiskale 2020-2022</w:t>
            </w:r>
            <w:r w:rsidRPr="00221487">
              <w:rPr>
                <w:i/>
                <w:noProof/>
                <w:lang w:val="sq-AL"/>
              </w:rPr>
              <w:t xml:space="preserve"> synon një nivel vjetor të një borxhi publik të përgjithshëm në përqindje të PBB-së më të ulët se niveli i një viti më parë.</w:t>
            </w:r>
          </w:p>
          <w:p w:rsidR="00221487" w:rsidRPr="00221487" w:rsidRDefault="00221487" w:rsidP="00221487">
            <w:pPr>
              <w:shd w:val="clear" w:color="auto" w:fill="D9D9D9" w:themeFill="background1" w:themeFillShade="D9"/>
              <w:jc w:val="both"/>
              <w:rPr>
                <w:noProof/>
                <w:lang w:val="sq-AL"/>
              </w:rPr>
            </w:pPr>
          </w:p>
          <w:p w:rsidR="00221487" w:rsidRPr="00221487" w:rsidRDefault="00221487" w:rsidP="007C6F79">
            <w:pPr>
              <w:numPr>
                <w:ilvl w:val="0"/>
                <w:numId w:val="23"/>
              </w:numPr>
              <w:shd w:val="clear" w:color="auto" w:fill="D9D9D9" w:themeFill="background1" w:themeFillShade="D9"/>
              <w:jc w:val="both"/>
              <w:rPr>
                <w:i/>
                <w:noProof/>
                <w:lang w:val="sq-AL"/>
              </w:rPr>
            </w:pPr>
            <w:r w:rsidRPr="00221487">
              <w:rPr>
                <w:i/>
                <w:noProof/>
                <w:lang w:val="sq-AL"/>
              </w:rPr>
              <w:t>Vlera nominale e PBB-së në lekë, e cila përdoret për të llogaritur raportin e borxhit publik ndaj PBB-së për vitet e parashikuara dhe për vitin e kaluar, nuk mund të jetë më e lartë se ajo e parashikuar ose e vlerësuar në raportin e Perspektivës Ekonomike Botërore të FMN-së, më e fundit e botuar në kohën kur propozimi vjetor i buxhetit paraqitet për miratim në Kuvend. Ky fakt është i dokumentuar qartë në shënimin shpjegues të propozimit vjetor të buxhetit.</w:t>
            </w:r>
          </w:p>
          <w:p w:rsidR="00221487" w:rsidRPr="00221487" w:rsidRDefault="00221487" w:rsidP="00221487">
            <w:pPr>
              <w:shd w:val="clear" w:color="auto" w:fill="D9D9D9" w:themeFill="background1" w:themeFillShade="D9"/>
              <w:contextualSpacing/>
              <w:jc w:val="both"/>
              <w:rPr>
                <w:noProof/>
                <w:lang w:val="sq-AL"/>
              </w:rPr>
            </w:pPr>
            <w:r w:rsidRPr="00221487">
              <w:rPr>
                <w:noProof/>
                <w:lang w:val="sq-AL"/>
              </w:rPr>
              <w:lastRenderedPageBreak/>
              <w:t xml:space="preserve">Në përputhje me këtë dispozitë (rregulli fiskal) të LOB, kuadri 2020-2022 </w:t>
            </w:r>
            <w:r w:rsidRPr="00221487">
              <w:rPr>
                <w:i/>
                <w:noProof/>
                <w:lang w:val="sq-AL"/>
              </w:rPr>
              <w:t>bazohet në parashikimet e mëposhtme nominale të PBB-së, të cilat nuk janë më të larta se parashikimet e raportit të Perspektivës Ekonomike Botërore të Fondit Monetar Ndërkombëtar</w:t>
            </w:r>
            <w:r w:rsidRPr="00221487">
              <w:rPr>
                <w:noProof/>
                <w:lang w:val="sq-AL"/>
              </w:rPr>
              <w:t>, të botuar së fundmi në Tetor 2018.</w:t>
            </w:r>
          </w:p>
          <w:p w:rsidR="00221487" w:rsidRPr="00221487" w:rsidRDefault="00221487" w:rsidP="00221487">
            <w:pPr>
              <w:shd w:val="clear" w:color="auto" w:fill="D9D9D9" w:themeFill="background1" w:themeFillShade="D9"/>
              <w:jc w:val="center"/>
              <w:rPr>
                <w:noProof/>
                <w:lang w:val="sq-AL"/>
              </w:rPr>
            </w:pPr>
            <w:r w:rsidRPr="00221487">
              <w:rPr>
                <w:noProof/>
              </w:rPr>
              <w:drawing>
                <wp:inline distT="0" distB="0" distL="0" distR="0" wp14:anchorId="4AC61957" wp14:editId="2CC70D20">
                  <wp:extent cx="5385134" cy="1247775"/>
                  <wp:effectExtent l="0" t="0" r="635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387970" cy="1248432"/>
                          </a:xfrm>
                          <a:prstGeom prst="rect">
                            <a:avLst/>
                          </a:prstGeom>
                          <a:noFill/>
                          <a:ln>
                            <a:noFill/>
                          </a:ln>
                        </pic:spPr>
                      </pic:pic>
                    </a:graphicData>
                  </a:graphic>
                </wp:inline>
              </w:drawing>
            </w:r>
          </w:p>
          <w:p w:rsidR="00221487" w:rsidRPr="00221487" w:rsidRDefault="00221487" w:rsidP="00221487">
            <w:pPr>
              <w:shd w:val="clear" w:color="auto" w:fill="D9D9D9" w:themeFill="background1" w:themeFillShade="D9"/>
              <w:jc w:val="both"/>
              <w:rPr>
                <w:noProof/>
                <w:lang w:val="sq-AL"/>
              </w:rPr>
            </w:pPr>
          </w:p>
          <w:p w:rsidR="00221487" w:rsidRPr="00221487" w:rsidRDefault="00221487" w:rsidP="007C6F79">
            <w:pPr>
              <w:numPr>
                <w:ilvl w:val="0"/>
                <w:numId w:val="23"/>
              </w:numPr>
              <w:shd w:val="clear" w:color="auto" w:fill="D9D9D9" w:themeFill="background1" w:themeFillShade="D9"/>
              <w:ind w:left="360"/>
              <w:jc w:val="both"/>
              <w:rPr>
                <w:i/>
                <w:noProof/>
                <w:lang w:val="sq-AL"/>
              </w:rPr>
            </w:pPr>
            <w:r w:rsidRPr="00221487">
              <w:rPr>
                <w:i/>
                <w:noProof/>
                <w:lang w:val="sq-AL"/>
              </w:rPr>
              <w:t xml:space="preserve">Çdo vit buxheti i planfikuar përfshin një kontigjencë të veçantë prej jo më pak se 0.7% të të gjithë shpenzimit buxhetor për të kompensuar riskun potencial nga inflacioni i kursit të shkëmbimit apo normës së interesit që ndikon në nivelin e borxhit. </w:t>
            </w:r>
          </w:p>
          <w:p w:rsidR="00221487" w:rsidRPr="00221487" w:rsidRDefault="00221487" w:rsidP="00221487">
            <w:pPr>
              <w:shd w:val="clear" w:color="auto" w:fill="D9D9D9" w:themeFill="background1" w:themeFillShade="D9"/>
              <w:jc w:val="both"/>
              <w:rPr>
                <w:i/>
                <w:noProof/>
                <w:lang w:val="sq-AL"/>
              </w:rPr>
            </w:pPr>
            <w:r w:rsidRPr="00221487">
              <w:rPr>
                <w:noProof/>
                <w:lang w:val="sq-AL"/>
              </w:rPr>
              <w:t xml:space="preserve">Në përputhje me këtë dispozitë (rregull fiskal) të LOB, kuadri 2020-2022 përfshin çdo vit nartikull të veçantë me titull "Fondi i kontigjencës për inflacion të normave të interesit, etj. </w:t>
            </w:r>
            <w:r w:rsidRPr="00221487">
              <w:rPr>
                <w:i/>
                <w:noProof/>
                <w:lang w:val="sq-AL"/>
              </w:rPr>
              <w:t xml:space="preserve">“një fond kontigjence prej të paktën 0.7 përqind të të gjithë shpenzimit. </w:t>
            </w:r>
          </w:p>
          <w:p w:rsidR="00221487" w:rsidRPr="00221487" w:rsidRDefault="00221487" w:rsidP="00221487">
            <w:pPr>
              <w:shd w:val="clear" w:color="auto" w:fill="D9D9D9" w:themeFill="background1" w:themeFillShade="D9"/>
              <w:jc w:val="both"/>
              <w:rPr>
                <w:noProof/>
                <w:lang w:val="sq-AL"/>
              </w:rPr>
            </w:pPr>
          </w:p>
          <w:p w:rsidR="00221487" w:rsidRPr="00221487" w:rsidRDefault="00221487" w:rsidP="007C6F79">
            <w:pPr>
              <w:numPr>
                <w:ilvl w:val="0"/>
                <w:numId w:val="23"/>
              </w:numPr>
              <w:shd w:val="clear" w:color="auto" w:fill="D9D9D9" w:themeFill="background1" w:themeFillShade="D9"/>
              <w:ind w:left="360"/>
              <w:jc w:val="both"/>
              <w:rPr>
                <w:noProof/>
                <w:lang w:val="sq-AL"/>
              </w:rPr>
            </w:pPr>
            <w:r w:rsidRPr="00221487">
              <w:rPr>
                <w:i/>
                <w:noProof/>
                <w:lang w:val="sq-AL"/>
              </w:rPr>
              <w:t>Të ardhurat nga privatizimi nuk janë janë pjesë e planifikimit të buxhetit. Në rast mbledhjeje,  jo më pak se 50% e tyre përdoren për uljen e borxhit publik dhe pjesa që ngelet për investime.</w:t>
            </w:r>
          </w:p>
          <w:p w:rsidR="00221487" w:rsidRPr="00221487" w:rsidRDefault="00221487" w:rsidP="00221487">
            <w:pPr>
              <w:shd w:val="clear" w:color="auto" w:fill="D9D9D9" w:themeFill="background1" w:themeFillShade="D9"/>
              <w:jc w:val="both"/>
              <w:rPr>
                <w:i/>
                <w:noProof/>
                <w:lang w:val="sq-AL"/>
              </w:rPr>
            </w:pPr>
            <w:r w:rsidRPr="00221487">
              <w:rPr>
                <w:noProof/>
                <w:lang w:val="sq-AL"/>
              </w:rPr>
              <w:t xml:space="preserve">Në përputhje me këtë dispozitë (rregull fiskal) të LOB, kuadri 2020-2022 </w:t>
            </w:r>
            <w:r w:rsidRPr="00221487">
              <w:rPr>
                <w:i/>
                <w:noProof/>
                <w:lang w:val="sq-AL"/>
              </w:rPr>
              <w:t>nuk përfshin të ardhurat nga privatizimet e mundshme.</w:t>
            </w:r>
          </w:p>
          <w:p w:rsidR="00221487" w:rsidRPr="00221487" w:rsidRDefault="00221487" w:rsidP="00221487">
            <w:pPr>
              <w:shd w:val="clear" w:color="auto" w:fill="D9D9D9" w:themeFill="background1" w:themeFillShade="D9"/>
              <w:jc w:val="both"/>
              <w:rPr>
                <w:noProof/>
                <w:lang w:val="sq-AL"/>
              </w:rPr>
            </w:pPr>
          </w:p>
          <w:p w:rsidR="00221487" w:rsidRPr="00221487" w:rsidRDefault="00221487" w:rsidP="007C6F79">
            <w:pPr>
              <w:numPr>
                <w:ilvl w:val="0"/>
                <w:numId w:val="23"/>
              </w:numPr>
              <w:shd w:val="clear" w:color="auto" w:fill="D9D9D9" w:themeFill="background1" w:themeFillShade="D9"/>
              <w:ind w:left="360"/>
              <w:jc w:val="both"/>
              <w:rPr>
                <w:i/>
                <w:noProof/>
                <w:lang w:val="sq-AL"/>
              </w:rPr>
            </w:pPr>
            <w:r w:rsidRPr="00221487">
              <w:rPr>
                <w:i/>
                <w:noProof/>
                <w:lang w:val="sq-AL"/>
              </w:rPr>
              <w:t xml:space="preserve">Shuma vjetore e deficitit të buxhetit nuk mund të kalojë shumën vjetore të shpenzimit kapital, të miratar çdo vit në ligjin për buxhetin.  </w:t>
            </w:r>
          </w:p>
          <w:p w:rsidR="00221487" w:rsidRPr="00221487" w:rsidRDefault="00221487" w:rsidP="00221487">
            <w:pPr>
              <w:shd w:val="clear" w:color="auto" w:fill="D9D9D9" w:themeFill="background1" w:themeFillShade="D9"/>
              <w:jc w:val="both"/>
              <w:rPr>
                <w:noProof/>
                <w:lang w:val="sq-AL"/>
              </w:rPr>
            </w:pPr>
            <w:r w:rsidRPr="00221487">
              <w:rPr>
                <w:noProof/>
                <w:lang w:val="sq-AL"/>
              </w:rPr>
              <w:t xml:space="preserve">Në përputhje me këtë dispozitë, "rregullin e artë" LOB, synimet për deficitin vjetor në kuadrin e 2020-2022 </w:t>
            </w:r>
            <w:r w:rsidRPr="00221487">
              <w:rPr>
                <w:i/>
                <w:noProof/>
                <w:lang w:val="sq-AL"/>
              </w:rPr>
              <w:t xml:space="preserve">janë më të ulta se sa shpenzimi i planifikuar kaptal. </w:t>
            </w:r>
            <w:r w:rsidRPr="00221487">
              <w:rPr>
                <w:noProof/>
                <w:lang w:val="sq-AL"/>
              </w:rPr>
              <w:t xml:space="preserve">Për rrjedhojë, bilanci aktual i synuar është pozitiv në një mesatare prej 3.5 përqind të PBB-së në çdo vit të programuar. </w:t>
            </w:r>
          </w:p>
        </w:tc>
      </w:tr>
    </w:tbl>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b/>
          <w:noProof/>
          <w:lang w:val="sq-AL"/>
        </w:rPr>
        <w:t xml:space="preserve">Masa 1: Përmirësimi i metodologjive të parashikimit (i përfunduar) </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Drejtoria Makroekonomike ka përfituar Asistencë Teknike për të përmirësuar aftësitë e parashikimit dhe për të forcuar hartimin e politikave të bazuara në prova, që prej vitit 2015. Përmes financimit të Zvicrës (SSHZÇE), një konsulent ndërkombëtar ka zhvilluar një mjet të programimit financiar, së bashku me pjesëmarrësit nga MFE, Banka e Shqipërisë dhe INSTAT-i, e cila ka krijuar një grup të qëndrueshëm dhe koherent të pjesëmarrësve në seanca të rregullta trajnimi. Programi ka përfunduar fazën e tij teknike që përfshin ndërtimin e modelit që në vitin 2017, ndërkohë që në vitin 2018 të gjthë sektorët e ekonomisë: </w:t>
      </w:r>
      <w:r w:rsidRPr="00300D60">
        <w:rPr>
          <w:rFonts w:ascii="Times New Roman" w:eastAsia="Times New Roman" w:hAnsi="Times New Roman" w:cs="Times New Roman"/>
          <w:i/>
          <w:noProof/>
          <w:lang w:val="sq-AL"/>
        </w:rPr>
        <w:t>sektori real,</w:t>
      </w:r>
      <w:r w:rsidRPr="00221487">
        <w:rPr>
          <w:rFonts w:ascii="Times New Roman" w:eastAsia="Times New Roman" w:hAnsi="Times New Roman" w:cs="Times New Roman"/>
          <w:i/>
          <w:noProof/>
          <w:lang w:val="sq-AL"/>
        </w:rPr>
        <w:t xml:space="preserve"> sektori fiskal, sektorët monetar dhe ai i brendshëm</w:t>
      </w:r>
      <w:r w:rsidRPr="00221487">
        <w:rPr>
          <w:rFonts w:ascii="Times New Roman" w:eastAsia="Times New Roman" w:hAnsi="Times New Roman" w:cs="Times New Roman"/>
          <w:noProof/>
          <w:lang w:val="sq-AL"/>
        </w:rPr>
        <w:t xml:space="preserve">, u zhvilluan me hollësi. Gjatë 2018, u mbajtën dy misione trajnimi përkatësisht në prill dhe në shtator. Pati 5 pjesëmarrës nga Ministria e Financës dhe Ekonomisë (katër prej tyre janë pjesë e Drejtorisë së Analizës Makroekonomike dhe Statistikave). Pjesëmarrësit e tjerë ishin nga Banka e Shqipërisë dhe nga INSTAT-i. Në përfundim të modulit të fundit të trajnimit, në shtator, të gjithë pjesëmarrësit u pajisën me certifikata. Projekti pritet të përfundojë gjatë tremujorit të parë të vitit 2019 me prodhimin dhe printimin e një Manuali për përdorimin e modelit për personelin e MFE-së. </w:t>
      </w: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Metodologjia e përdorur për parashikimin e të ardhurave nga Drejtoria e Analizës Makroekonomike dhe Statistikave është përmirësuar për shkak të këtij trajnimi për programimin financiar. Deri në fund të vitit 2018, ndryshimi në përqindje ndërmjet të ardhurave të vlerësuara në Kuadrin Makroekonomik dhe Fiskal 2019-2021 dhe të ardhurat aktuale nga Statistikat Analitike Fiskale të dhjetorit 2018 u ulën në -3 % nga -10.2% që ishin në vitin 2013.   </w:t>
      </w:r>
    </w:p>
    <w:p w:rsidR="00221487" w:rsidRPr="00221487" w:rsidRDefault="00221487" w:rsidP="00221487">
      <w:pPr>
        <w:spacing w:after="0" w:line="240" w:lineRule="auto"/>
        <w:jc w:val="both"/>
        <w:rPr>
          <w:rFonts w:ascii="Times New Roman" w:eastAsia="Times New Roman" w:hAnsi="Times New Roman" w:cs="Times New Roman"/>
          <w:noProof/>
          <w:lang w:val="sq-AL"/>
        </w:rPr>
      </w:pPr>
    </w:p>
    <w:tbl>
      <w:tblPr>
        <w:tblW w:w="9668" w:type="dxa"/>
        <w:tblInd w:w="108"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ook w:val="04A0" w:firstRow="1" w:lastRow="0" w:firstColumn="1" w:lastColumn="0" w:noHBand="0" w:noVBand="1"/>
      </w:tblPr>
      <w:tblGrid>
        <w:gridCol w:w="1890"/>
        <w:gridCol w:w="3060"/>
        <w:gridCol w:w="4718"/>
      </w:tblGrid>
      <w:tr w:rsidR="00221487" w:rsidRPr="005B32A4" w:rsidTr="004342D7">
        <w:tc>
          <w:tcPr>
            <w:tcW w:w="9668" w:type="dxa"/>
            <w:gridSpan w:val="3"/>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i/>
                <w:noProof/>
                <w:lang w:val="sq-AL"/>
              </w:rPr>
            </w:pPr>
            <w:r w:rsidRPr="00221487">
              <w:rPr>
                <w:rFonts w:ascii="Times New Roman" w:eastAsia="Times" w:hAnsi="Times New Roman" w:cs="Times New Roman"/>
                <w:i/>
                <w:noProof/>
                <w:lang w:val="sq-AL"/>
              </w:rPr>
              <w:t xml:space="preserve">Objektivi </w:t>
            </w:r>
          </w:p>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lastRenderedPageBreak/>
              <w:t xml:space="preserve">Kuadro fiskalë të qendrueshëm e të matur bazuar në objektiva fiskalë qartësisht të përcaktuar, përforcojnë buxhetin </w:t>
            </w:r>
          </w:p>
          <w:p w:rsidR="00221487" w:rsidRPr="00221487" w:rsidRDefault="00221487" w:rsidP="00221487">
            <w:pPr>
              <w:spacing w:after="0" w:line="240" w:lineRule="auto"/>
              <w:jc w:val="both"/>
              <w:rPr>
                <w:rFonts w:ascii="Times New Roman" w:eastAsia="Times" w:hAnsi="Times New Roman" w:cs="Times New Roman"/>
                <w:i/>
                <w:noProof/>
                <w:lang w:val="sq-AL"/>
              </w:rPr>
            </w:pPr>
            <w:r w:rsidRPr="00221487">
              <w:rPr>
                <w:rFonts w:ascii="Times New Roman" w:eastAsia="Times" w:hAnsi="Times New Roman" w:cs="Times New Roman"/>
                <w:i/>
                <w:noProof/>
                <w:lang w:val="sq-AL"/>
              </w:rPr>
              <w:t>Treguesi i rezultatit</w:t>
            </w:r>
          </w:p>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 xml:space="preserve">PBB-ja nominale e parashikuar, e përdorur në çdo fazë të planifikimit buxhetor, nuk duhet të jetë më e lartë se sa PBB-ja përkatëse nominale në Perspektivën Botërore Ekonomike, të botuar nga FMN. </w:t>
            </w:r>
          </w:p>
          <w:p w:rsidR="00221487" w:rsidRPr="00221487" w:rsidRDefault="00221487" w:rsidP="00221487">
            <w:pPr>
              <w:spacing w:after="0" w:line="240" w:lineRule="auto"/>
              <w:jc w:val="both"/>
              <w:rPr>
                <w:rFonts w:ascii="Times New Roman" w:eastAsia="Times" w:hAnsi="Times New Roman" w:cs="Times New Roman"/>
                <w:i/>
                <w:noProof/>
                <w:lang w:val="sq-AL"/>
              </w:rPr>
            </w:pPr>
            <w:r w:rsidRPr="00221487">
              <w:rPr>
                <w:rFonts w:ascii="Times New Roman" w:eastAsia="Times" w:hAnsi="Times New Roman" w:cs="Times New Roman"/>
                <w:i/>
                <w:noProof/>
                <w:lang w:val="sq-AL"/>
              </w:rPr>
              <w:t>Vlera e treguesit</w:t>
            </w:r>
          </w:p>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 xml:space="preserve">Vlera e treguesit për vitin 2018 </w:t>
            </w:r>
            <w:r w:rsidRPr="00221487">
              <w:rPr>
                <w:rFonts w:ascii="Times New Roman" w:eastAsia="Times" w:hAnsi="Times New Roman" w:cs="Times New Roman"/>
                <w:b/>
                <w:noProof/>
                <w:lang w:val="sq-AL"/>
              </w:rPr>
              <w:t>u arrit</w:t>
            </w:r>
            <w:r w:rsidRPr="00221487">
              <w:rPr>
                <w:rFonts w:ascii="Times New Roman" w:eastAsia="Times" w:hAnsi="Times New Roman" w:cs="Times New Roman"/>
                <w:noProof/>
                <w:lang w:val="sq-AL" w:eastAsia="en-GB"/>
              </w:rPr>
              <w:t>,</w:t>
            </w:r>
            <w:r w:rsidRPr="00221487">
              <w:rPr>
                <w:rFonts w:ascii="Times New Roman" w:eastAsia="Times" w:hAnsi="Times New Roman" w:cs="Times New Roman"/>
                <w:noProof/>
                <w:lang w:val="sq-AL"/>
              </w:rPr>
              <w:t xml:space="preserve"> pasi PBB-ja e parashikuar nominale e MFE-së ≤ PBB-ja nominale e parashikuar e FMN-së, për këtë arsye diferenca për vitin 2018 është ≤ 0. </w:t>
            </w:r>
          </w:p>
        </w:tc>
      </w:tr>
      <w:tr w:rsidR="00221487" w:rsidRPr="005B32A4" w:rsidTr="004342D7">
        <w:trPr>
          <w:trHeight w:val="261"/>
        </w:trPr>
        <w:tc>
          <w:tcPr>
            <w:tcW w:w="1890" w:type="dxa"/>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lang w:val="sq-AL"/>
              </w:rPr>
            </w:pPr>
          </w:p>
        </w:tc>
        <w:tc>
          <w:tcPr>
            <w:tcW w:w="3060" w:type="dxa"/>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lang w:val="sq-AL"/>
              </w:rPr>
            </w:pPr>
          </w:p>
        </w:tc>
        <w:tc>
          <w:tcPr>
            <w:tcW w:w="4718" w:type="dxa"/>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lang w:val="sq-AL"/>
              </w:rPr>
            </w:pPr>
          </w:p>
        </w:tc>
      </w:tr>
      <w:tr w:rsidR="00221487" w:rsidRPr="00221487" w:rsidTr="004342D7">
        <w:trPr>
          <w:trHeight w:val="261"/>
        </w:trPr>
        <w:tc>
          <w:tcPr>
            <w:tcW w:w="1890" w:type="dxa"/>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Baza (2013)</w:t>
            </w:r>
          </w:p>
        </w:tc>
        <w:tc>
          <w:tcPr>
            <w:tcW w:w="3060" w:type="dxa"/>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 xml:space="preserve">       2018</w:t>
            </w:r>
          </w:p>
        </w:tc>
        <w:tc>
          <w:tcPr>
            <w:tcW w:w="4718" w:type="dxa"/>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Synimi për 2020</w:t>
            </w:r>
          </w:p>
        </w:tc>
      </w:tr>
      <w:tr w:rsidR="00221487" w:rsidRPr="00221487" w:rsidTr="004342D7">
        <w:trPr>
          <w:trHeight w:val="198"/>
        </w:trPr>
        <w:tc>
          <w:tcPr>
            <w:tcW w:w="1890" w:type="dxa"/>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Calibri" w:eastAsia="Times New Roman" w:hAnsi="Calibri" w:cs="Times New Roman"/>
                <w:bCs/>
                <w:noProof/>
                <w:color w:val="000000"/>
                <w:lang w:val="sq-AL"/>
              </w:rPr>
              <w:t>+14.3</w:t>
            </w:r>
            <w:r w:rsidRPr="00221487">
              <w:rPr>
                <w:rFonts w:ascii="Times New Roman" w:eastAsia="Times" w:hAnsi="Times New Roman" w:cs="Times New Roman"/>
                <w:noProof/>
                <w:vertAlign w:val="superscript"/>
                <w:lang w:val="sq-AL"/>
              </w:rPr>
              <w:t xml:space="preserve"> </w:t>
            </w:r>
          </w:p>
        </w:tc>
        <w:tc>
          <w:tcPr>
            <w:tcW w:w="7778" w:type="dxa"/>
            <w:gridSpan w:val="2"/>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 xml:space="preserve">       -5.9 miliardë </w:t>
            </w:r>
            <w:r w:rsidRPr="00221487">
              <w:rPr>
                <w:rFonts w:ascii="Calibri" w:eastAsia="Times New Roman" w:hAnsi="Calibri" w:cs="Times New Roman"/>
                <w:bCs/>
                <w:iCs/>
                <w:noProof/>
                <w:color w:val="000000"/>
                <w:lang w:val="sq-AL"/>
              </w:rPr>
              <w:t>ALL</w:t>
            </w:r>
            <w:r w:rsidRPr="00221487">
              <w:rPr>
                <w:rFonts w:ascii="Times New Roman" w:eastAsia="Times" w:hAnsi="Times New Roman" w:cs="Times New Roman"/>
                <w:noProof/>
                <w:lang w:val="sq-AL"/>
              </w:rPr>
              <w:t xml:space="preserve">                           ≤ 0 </w:t>
            </w:r>
          </w:p>
        </w:tc>
      </w:tr>
    </w:tbl>
    <w:p w:rsidR="00221487" w:rsidRPr="00221487" w:rsidRDefault="00221487" w:rsidP="00221487">
      <w:pPr>
        <w:spacing w:after="0" w:line="240" w:lineRule="auto"/>
        <w:jc w:val="both"/>
        <w:rPr>
          <w:rFonts w:ascii="Times New Roman" w:eastAsia="Times" w:hAnsi="Times New Roman" w:cs="Times New Roman"/>
          <w:noProof/>
          <w:lang w:val="sq-AL"/>
        </w:rPr>
      </w:pPr>
    </w:p>
    <w:p w:rsidR="00221487" w:rsidRPr="00221487" w:rsidRDefault="00221487" w:rsidP="00221487">
      <w:pPr>
        <w:spacing w:after="0" w:line="240" w:lineRule="auto"/>
        <w:jc w:val="both"/>
        <w:rPr>
          <w:rFonts w:ascii="Times New Roman" w:eastAsia="Times" w:hAnsi="Times New Roman" w:cs="Times New Roman"/>
          <w:noProof/>
          <w:lang w:val="sq-AL"/>
        </w:rPr>
      </w:pPr>
    </w:p>
    <w:p w:rsidR="00221487" w:rsidRPr="00221487" w:rsidRDefault="00221487" w:rsidP="00221487">
      <w:pPr>
        <w:keepNext/>
        <w:numPr>
          <w:ilvl w:val="2"/>
          <w:numId w:val="0"/>
        </w:numPr>
        <w:spacing w:after="0" w:line="240" w:lineRule="auto"/>
        <w:ind w:left="720" w:hanging="720"/>
        <w:jc w:val="both"/>
        <w:outlineLvl w:val="2"/>
        <w:rPr>
          <w:rFonts w:ascii="Times New Roman" w:eastAsia="Times" w:hAnsi="Times New Roman" w:cs="Times New Roman"/>
          <w:noProof/>
        </w:rPr>
      </w:pPr>
      <w:r w:rsidRPr="00221487">
        <w:rPr>
          <w:rFonts w:ascii="Times New Roman" w:eastAsia="Times" w:hAnsi="Times New Roman" w:cs="Times New Roman"/>
          <w:noProof/>
          <w:lang w:val="sq-AL"/>
        </w:rPr>
        <w:t>Llogaritë Kombëtare të Qeverisë</w:t>
      </w:r>
    </w:p>
    <w:p w:rsidR="00221487" w:rsidRPr="00221487" w:rsidRDefault="00221487" w:rsidP="00221487">
      <w:pPr>
        <w:spacing w:after="0" w:line="240" w:lineRule="auto"/>
        <w:jc w:val="both"/>
        <w:rPr>
          <w:rFonts w:ascii="Times New Roman" w:eastAsia="Times" w:hAnsi="Times New Roman" w:cs="Times New Roman"/>
          <w:noProof/>
          <w:lang w:val="sq-AL"/>
        </w:rPr>
      </w:pPr>
    </w:p>
    <w:tbl>
      <w:tblPr>
        <w:tblW w:w="0" w:type="auto"/>
        <w:tblInd w:w="108"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ook w:val="04A0" w:firstRow="1" w:lastRow="0" w:firstColumn="1" w:lastColumn="0" w:noHBand="0" w:noVBand="1"/>
      </w:tblPr>
      <w:tblGrid>
        <w:gridCol w:w="1886"/>
        <w:gridCol w:w="2435"/>
        <w:gridCol w:w="5371"/>
      </w:tblGrid>
      <w:tr w:rsidR="00221487" w:rsidRPr="005B32A4" w:rsidTr="004342D7">
        <w:trPr>
          <w:trHeight w:val="125"/>
        </w:trPr>
        <w:tc>
          <w:tcPr>
            <w:tcW w:w="9720" w:type="dxa"/>
            <w:gridSpan w:val="3"/>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i/>
                <w:noProof/>
                <w:lang w:val="sq-AL"/>
              </w:rPr>
            </w:pPr>
            <w:r w:rsidRPr="00221487">
              <w:rPr>
                <w:rFonts w:ascii="Times New Roman" w:eastAsia="Times" w:hAnsi="Times New Roman" w:cs="Times New Roman"/>
                <w:i/>
                <w:noProof/>
                <w:lang w:val="sq-AL"/>
              </w:rPr>
              <w:t xml:space="preserve">Objektivi </w:t>
            </w:r>
          </w:p>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 xml:space="preserve">Agjenci e pavarur statistikore nxjerr Llogari Kombëtare të besueshme dhe në kohë </w:t>
            </w:r>
          </w:p>
          <w:p w:rsidR="00221487" w:rsidRPr="00221487" w:rsidRDefault="00221487" w:rsidP="00221487">
            <w:pPr>
              <w:spacing w:after="0" w:line="240" w:lineRule="auto"/>
              <w:jc w:val="both"/>
              <w:rPr>
                <w:rFonts w:ascii="Times New Roman" w:eastAsia="Times" w:hAnsi="Times New Roman" w:cs="Times New Roman"/>
                <w:i/>
                <w:noProof/>
                <w:lang w:val="sq-AL"/>
              </w:rPr>
            </w:pPr>
            <w:r w:rsidRPr="00221487">
              <w:rPr>
                <w:rFonts w:ascii="Times New Roman" w:eastAsia="Times" w:hAnsi="Times New Roman" w:cs="Times New Roman"/>
                <w:i/>
                <w:noProof/>
                <w:lang w:val="sq-AL"/>
              </w:rPr>
              <w:t>Treguesi i rezultatit</w:t>
            </w:r>
          </w:p>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Përpilimi i Llogarive Kombëtare Qeveritare sipas SELl 2010</w:t>
            </w:r>
          </w:p>
          <w:p w:rsidR="00221487" w:rsidRPr="00221487" w:rsidRDefault="00221487" w:rsidP="00221487">
            <w:pPr>
              <w:spacing w:after="0" w:line="240" w:lineRule="auto"/>
              <w:jc w:val="both"/>
              <w:rPr>
                <w:rFonts w:ascii="Times New Roman" w:eastAsia="Times" w:hAnsi="Times New Roman" w:cs="Times New Roman"/>
                <w:i/>
                <w:noProof/>
                <w:lang w:val="sq-AL"/>
              </w:rPr>
            </w:pPr>
            <w:r w:rsidRPr="00221487">
              <w:rPr>
                <w:rFonts w:ascii="Times New Roman" w:eastAsia="Times" w:hAnsi="Times New Roman" w:cs="Times New Roman"/>
                <w:i/>
                <w:noProof/>
                <w:lang w:val="sq-AL"/>
              </w:rPr>
              <w:t xml:space="preserve">Vlera e treguesit </w:t>
            </w:r>
          </w:p>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New Roman" w:hAnsi="Times New Roman" w:cs="Times New Roman"/>
                <w:noProof/>
                <w:lang w:val="sq-AL"/>
              </w:rPr>
              <w:t xml:space="preserve">Vlera e treguesit u përmirësua në krahasim me vitin 2017 (25 %). Treguesi </w:t>
            </w:r>
            <w:r w:rsidRPr="00221487">
              <w:rPr>
                <w:rFonts w:ascii="Times New Roman" w:eastAsia="Times New Roman" w:hAnsi="Times New Roman" w:cs="Times New Roman"/>
                <w:b/>
                <w:noProof/>
                <w:lang w:val="sq-AL"/>
              </w:rPr>
              <w:t>u përmbush,</w:t>
            </w:r>
            <w:r w:rsidRPr="00221487">
              <w:rPr>
                <w:rFonts w:ascii="Times New Roman" w:eastAsia="Times New Roman" w:hAnsi="Times New Roman" w:cs="Times New Roman"/>
                <w:noProof/>
                <w:lang w:val="sq-AL"/>
              </w:rPr>
              <w:t xml:space="preserve"> pasi u rrit në krahasim me vitin 2017 dhe tendenca është në përputhje me synimin për vitin 2020.</w:t>
            </w:r>
          </w:p>
        </w:tc>
      </w:tr>
      <w:tr w:rsidR="00221487" w:rsidRPr="00221487" w:rsidTr="004342D7">
        <w:trPr>
          <w:trHeight w:val="261"/>
        </w:trPr>
        <w:tc>
          <w:tcPr>
            <w:tcW w:w="1890" w:type="dxa"/>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Baza (2016)</w:t>
            </w:r>
          </w:p>
        </w:tc>
        <w:tc>
          <w:tcPr>
            <w:tcW w:w="2442" w:type="dxa"/>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 xml:space="preserve">           2018</w:t>
            </w:r>
          </w:p>
        </w:tc>
        <w:tc>
          <w:tcPr>
            <w:tcW w:w="5388" w:type="dxa"/>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 xml:space="preserve">       Synimi për 2020</w:t>
            </w:r>
          </w:p>
        </w:tc>
      </w:tr>
      <w:tr w:rsidR="00221487" w:rsidRPr="00221487" w:rsidTr="004342D7">
        <w:trPr>
          <w:trHeight w:val="198"/>
        </w:trPr>
        <w:tc>
          <w:tcPr>
            <w:tcW w:w="1890" w:type="dxa"/>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0%</w:t>
            </w:r>
          </w:p>
        </w:tc>
        <w:tc>
          <w:tcPr>
            <w:tcW w:w="7830" w:type="dxa"/>
            <w:gridSpan w:val="2"/>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 xml:space="preserve">            50%                                       </w:t>
            </w:r>
            <w:r w:rsidRPr="00221487">
              <w:rPr>
                <w:rFonts w:ascii="Times New Roman" w:eastAsia="Times New Roman" w:hAnsi="Times New Roman" w:cs="Times New Roman"/>
                <w:noProof/>
                <w:lang w:val="sq-AL"/>
              </w:rPr>
              <w:t>75%</w:t>
            </w:r>
          </w:p>
        </w:tc>
      </w:tr>
    </w:tbl>
    <w:p w:rsidR="00221487" w:rsidRPr="00221487" w:rsidRDefault="00221487" w:rsidP="00221487">
      <w:pPr>
        <w:spacing w:after="0" w:line="240" w:lineRule="auto"/>
        <w:jc w:val="both"/>
        <w:rPr>
          <w:rFonts w:ascii="Times New Roman" w:eastAsia="Times" w:hAnsi="Times New Roman" w:cs="Times New Roman"/>
          <w:noProof/>
          <w:lang w:val="sq-AL"/>
        </w:rPr>
      </w:pPr>
    </w:p>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INSTAT vazhdoi përpjekjen për të forcuar kapacitetet në fushën e llogarive të qeverisë duke përfunduar objektivat kryesore, të mbështetur nga asistenca e FMN e financuar nga SSHZÇE:</w:t>
      </w:r>
    </w:p>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 xml:space="preserve">• </w:t>
      </w:r>
      <w:r w:rsidRPr="00221487">
        <w:rPr>
          <w:rFonts w:ascii="Times New Roman" w:eastAsia="Times" w:hAnsi="Times New Roman" w:cs="Times New Roman"/>
          <w:i/>
          <w:noProof/>
          <w:lang w:val="sq-AL"/>
        </w:rPr>
        <w:t>Në shtator 2018 u botua një listë e përditësuar me klasifikimet e njësive institucionale (NjI).</w:t>
      </w:r>
      <w:r w:rsidRPr="00221487">
        <w:rPr>
          <w:rFonts w:ascii="Times New Roman" w:eastAsia="Times" w:hAnsi="Times New Roman" w:cs="Times New Roman"/>
          <w:noProof/>
          <w:lang w:val="sq-AL"/>
        </w:rPr>
        <w:t xml:space="preserve"> Kjo listë përfshin të gjitha Njësitë Institucionale të klasifikuara brenda Administratës Publike për vitin 2017. Një shtesë e kësaj liste ishte botimi i ndryshimeve kryesore nga botimi i mëparshëm, ku u shfaqën njësi të reja apo të vjetra;</w:t>
      </w:r>
    </w:p>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 Vazhdon puna për krijimin e një sistemi statistikor të qëndrueshëm të administratës publike pas kërkesave të tabelës së transmetimit SELl 2010. INSTAT është duke punuar në drejtim të përmirësimit të cilësisë dhe sasisë së të dhënave të nevojshme për kërkesat e SFQ dhe SELl 2010.</w:t>
      </w:r>
    </w:p>
    <w:p w:rsidR="00221487" w:rsidRPr="00221487" w:rsidRDefault="00221487" w:rsidP="00221487">
      <w:pPr>
        <w:spacing w:after="0" w:line="240" w:lineRule="auto"/>
        <w:jc w:val="both"/>
        <w:rPr>
          <w:rFonts w:ascii="Times New Roman" w:eastAsia="Times" w:hAnsi="Times New Roman" w:cs="Times New Roman"/>
          <w:noProof/>
          <w:highlight w:val="yellow"/>
          <w:lang w:val="sq-AL"/>
        </w:rPr>
      </w:pPr>
      <w:r w:rsidRPr="00221487">
        <w:rPr>
          <w:rFonts w:ascii="Times New Roman" w:eastAsia="Times" w:hAnsi="Times New Roman" w:cs="Times New Roman"/>
          <w:noProof/>
          <w:lang w:val="sq-AL"/>
        </w:rPr>
        <w:t xml:space="preserve">• Për herë të parë, në 2018, INSTAT </w:t>
      </w:r>
      <w:r w:rsidRPr="00221487">
        <w:rPr>
          <w:rFonts w:ascii="Times New Roman" w:eastAsia="Times" w:hAnsi="Times New Roman" w:cs="Times New Roman"/>
          <w:i/>
          <w:noProof/>
          <w:lang w:val="sq-AL"/>
        </w:rPr>
        <w:t>përpiloi dhe transmetoi një tabelë eksperimentale 11 (Shpenzimet Qeveritare sipas Funksionit)</w:t>
      </w:r>
      <w:r w:rsidRPr="00221487">
        <w:rPr>
          <w:rFonts w:ascii="Times New Roman" w:eastAsia="Times" w:hAnsi="Times New Roman" w:cs="Times New Roman"/>
          <w:noProof/>
          <w:lang w:val="sq-AL"/>
        </w:rPr>
        <w:t xml:space="preserve"> për vitin 2017. Deri në dhjetor, 4 nga 8 tabelat SFQ u dërguan në EUROSTAT dhe puna është në proces për të përgatitur dhe dërguar tabelën e katërt. Në vitin 2019 tabela e re për Llogaritë Financiare do t'i dërgohet EUROSTAT-it në baza eksperimentale. INSTAT vazhdon të dërgojë tabelën e Procedurës së Defiçitit të Tepërt (PDT) dy herë në vit, duke ndjekur kërkesat e EUROSTAT-it. Transmetimi i fundit është bërë në nëntor të vitit 2019 me të dhëna për 2014-2017. INSTAT ka zhvilluar tabela PDT në baza eksperimentale që nga tetori 2014.</w:t>
      </w:r>
    </w:p>
    <w:p w:rsidR="00221487" w:rsidRPr="00221487" w:rsidRDefault="00221487" w:rsidP="00221487">
      <w:pPr>
        <w:spacing w:after="0" w:line="240" w:lineRule="auto"/>
        <w:contextualSpacing/>
        <w:jc w:val="both"/>
        <w:rPr>
          <w:rFonts w:ascii="Times New Roman" w:eastAsia="Times" w:hAnsi="Times New Roman" w:cs="Times New Roman"/>
          <w:noProof/>
          <w:lang w:val="sq-AL"/>
        </w:rPr>
      </w:pPr>
    </w:p>
    <w:p w:rsidR="00221487" w:rsidRPr="00221487" w:rsidRDefault="00221487" w:rsidP="00221487">
      <w:pPr>
        <w:spacing w:after="0" w:line="240" w:lineRule="auto"/>
        <w:jc w:val="both"/>
        <w:rPr>
          <w:rFonts w:ascii="Times New Roman" w:eastAsia="Times" w:hAnsi="Times New Roman" w:cs="Times New Roman"/>
          <w:b/>
          <w:noProof/>
          <w:lang w:val="sq-AL"/>
        </w:rPr>
      </w:pPr>
      <w:r w:rsidRPr="00221487">
        <w:rPr>
          <w:rFonts w:ascii="Times New Roman" w:eastAsia="Times" w:hAnsi="Times New Roman" w:cs="Times New Roman"/>
          <w:b/>
          <w:noProof/>
          <w:lang w:val="sq-AL"/>
        </w:rPr>
        <w:t xml:space="preserve">Masa 1. Klasifikim i plotë i të gjithë enteve publike </w:t>
      </w:r>
      <w:r w:rsidRPr="00221487">
        <w:rPr>
          <w:rFonts w:ascii="Times New Roman" w:eastAsia="Times" w:hAnsi="Times New Roman" w:cs="Times New Roman"/>
          <w:b/>
          <w:i/>
          <w:noProof/>
          <w:lang w:val="sq-AL"/>
        </w:rPr>
        <w:t>(plotësuar)</w:t>
      </w:r>
    </w:p>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 xml:space="preserve">Edhe pse kjo masë përfundoi në vitin 2017, INSTAT-i vijon punën me listën e klasifikimit. Lista po kontrollohet çdo vit dhe përditësohet sipas nevojës. Lista e re me përmirësimet e fundit u botua në shtator  2018. Gjithashtu, lista e botuar përmbante ndryshimet nga botimi i mëparshëm, ku paraqiteshin njësitë e reja dhe të vjetra.  </w:t>
      </w:r>
    </w:p>
    <w:p w:rsidR="00221487" w:rsidRPr="00221487" w:rsidRDefault="00221487" w:rsidP="00221487">
      <w:pPr>
        <w:spacing w:after="0" w:line="240" w:lineRule="auto"/>
        <w:jc w:val="both"/>
        <w:rPr>
          <w:rFonts w:ascii="Times New Roman" w:eastAsia="Times" w:hAnsi="Times New Roman" w:cs="Times New Roman"/>
          <w:b/>
          <w:noProof/>
          <w:lang w:val="sq-AL"/>
        </w:rPr>
      </w:pPr>
    </w:p>
    <w:p w:rsidR="00221487" w:rsidRPr="00221487" w:rsidRDefault="00221487" w:rsidP="00221487">
      <w:pPr>
        <w:spacing w:after="0" w:line="240" w:lineRule="auto"/>
        <w:jc w:val="both"/>
        <w:rPr>
          <w:rFonts w:ascii="Times New Roman" w:eastAsia="Times" w:hAnsi="Times New Roman" w:cs="Times New Roman"/>
          <w:b/>
          <w:noProof/>
          <w:lang w:val="sq-AL"/>
        </w:rPr>
      </w:pPr>
      <w:r w:rsidRPr="00221487">
        <w:rPr>
          <w:rFonts w:ascii="Times New Roman" w:eastAsia="Times" w:hAnsi="Times New Roman" w:cs="Times New Roman"/>
          <w:b/>
          <w:noProof/>
          <w:lang w:val="sq-AL"/>
        </w:rPr>
        <w:t xml:space="preserve">Masa 2. Krijimi i një sistemi të qendrueshëm statistikor të administratës publike </w:t>
      </w:r>
      <w:r w:rsidRPr="00221487">
        <w:rPr>
          <w:rFonts w:ascii="Times New Roman" w:eastAsia="Times" w:hAnsi="Times New Roman" w:cs="Times New Roman"/>
          <w:b/>
          <w:i/>
          <w:noProof/>
          <w:lang w:val="sq-AL"/>
        </w:rPr>
        <w:t>(në proces/sipas planit)</w:t>
      </w:r>
    </w:p>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 xml:space="preserve">Gjatë vitit 2018 INSTAT-i, MFE-ja dhe BSH janë takuar rregullisht për të diskutuar krijimin e një sistemi për shkëmbimin e informacionit për t’iu përshtatur gjithë nevojave të tre prodhuesve të statistikave. Gjatë gjysmës së dytë të vitit u zhvillua një mision i FMN-së për të vëzhguar burimet e disponueshme të të dhënave dhe </w:t>
      </w:r>
      <w:r w:rsidRPr="00221487">
        <w:rPr>
          <w:rFonts w:ascii="Times New Roman" w:eastAsia="Times" w:hAnsi="Times New Roman" w:cs="Times New Roman"/>
          <w:noProof/>
          <w:lang w:val="sq-AL"/>
        </w:rPr>
        <w:lastRenderedPageBreak/>
        <w:t xml:space="preserve">produktin e mundshëm të sistemit që po ndërtohet për SFQ. Puna për krijimin e një sistemi të integruar është ende në proces. </w:t>
      </w:r>
    </w:p>
    <w:p w:rsidR="00221487" w:rsidRPr="00221487" w:rsidRDefault="00221487" w:rsidP="00221487">
      <w:pPr>
        <w:spacing w:after="0" w:line="240" w:lineRule="auto"/>
        <w:jc w:val="both"/>
        <w:rPr>
          <w:rFonts w:ascii="Times New Roman" w:eastAsia="Times" w:hAnsi="Times New Roman" w:cs="Times New Roman"/>
          <w:noProof/>
          <w:lang w:val="sq-AL"/>
        </w:rPr>
      </w:pPr>
    </w:p>
    <w:p w:rsidR="00221487" w:rsidRPr="00221487" w:rsidRDefault="00221487" w:rsidP="00221487">
      <w:pPr>
        <w:spacing w:after="0" w:line="240" w:lineRule="auto"/>
        <w:jc w:val="both"/>
        <w:rPr>
          <w:rFonts w:ascii="Times New Roman" w:eastAsia="Times" w:hAnsi="Times New Roman" w:cs="Times New Roman"/>
          <w:b/>
          <w:noProof/>
          <w:lang w:val="sq-AL"/>
        </w:rPr>
      </w:pPr>
      <w:r w:rsidRPr="00221487">
        <w:rPr>
          <w:rFonts w:ascii="Times New Roman" w:eastAsia="Times" w:hAnsi="Times New Roman" w:cs="Times New Roman"/>
          <w:b/>
          <w:noProof/>
          <w:lang w:val="sq-AL"/>
        </w:rPr>
        <w:t xml:space="preserve">Masa 3. Sigurimi i mbledhjes së informacionit </w:t>
      </w:r>
      <w:r w:rsidRPr="00221487">
        <w:rPr>
          <w:rFonts w:ascii="Times New Roman" w:eastAsia="Times" w:hAnsi="Times New Roman" w:cs="Times New Roman"/>
          <w:b/>
          <w:i/>
          <w:noProof/>
          <w:lang w:val="sq-AL"/>
        </w:rPr>
        <w:t>(në proces/sipas planit)</w:t>
      </w:r>
    </w:p>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 xml:space="preserve">INSTAT ka mbledhur informacion mbi Njësitë Ekstra-Buxhetore me qëllim mbulimin e Sektorit Institucional të Qeverisjes së Përgjithshme. Së bashku me misionin e FN-së, INSTAT-i ka punuar për integrimin e informacionit të disponueshëm në një sistem standard dhe ka nisur punën për konsolidimin e Llogarive. Puna është ende në proces.  </w:t>
      </w:r>
    </w:p>
    <w:p w:rsidR="00221487" w:rsidRPr="00221487" w:rsidRDefault="00221487" w:rsidP="00221487">
      <w:pPr>
        <w:spacing w:after="0" w:line="240" w:lineRule="auto"/>
        <w:jc w:val="both"/>
        <w:rPr>
          <w:rFonts w:ascii="Times New Roman" w:eastAsia="Times" w:hAnsi="Times New Roman" w:cs="Times New Roman"/>
          <w:b/>
          <w:i/>
          <w:noProof/>
          <w:lang w:val="sq-AL"/>
        </w:rPr>
      </w:pPr>
    </w:p>
    <w:p w:rsidR="00221487" w:rsidRPr="00221487" w:rsidRDefault="00221487" w:rsidP="00221487">
      <w:pPr>
        <w:spacing w:after="0" w:line="240" w:lineRule="auto"/>
        <w:jc w:val="both"/>
        <w:rPr>
          <w:rFonts w:ascii="Times New Roman" w:eastAsia="Times" w:hAnsi="Times New Roman" w:cs="Times New Roman"/>
          <w:b/>
          <w:i/>
          <w:noProof/>
          <w:lang w:val="sq-AL"/>
        </w:rPr>
      </w:pPr>
      <w:r w:rsidRPr="00221487">
        <w:rPr>
          <w:rFonts w:ascii="Times New Roman" w:eastAsia="Times" w:hAnsi="Times New Roman" w:cs="Times New Roman"/>
          <w:b/>
          <w:noProof/>
          <w:lang w:val="sq-AL"/>
        </w:rPr>
        <w:t>Masa 4. Prgatitja e politikave të Rishikimit/Transparencës</w:t>
      </w:r>
      <w:r w:rsidRPr="00221487">
        <w:rPr>
          <w:rFonts w:ascii="Times New Roman" w:eastAsia="Times" w:hAnsi="Times New Roman" w:cs="Times New Roman"/>
          <w:b/>
          <w:i/>
          <w:noProof/>
          <w:lang w:val="sq-AL"/>
        </w:rPr>
        <w:t xml:space="preserve"> (në proces/sipas planit)</w:t>
      </w:r>
    </w:p>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 xml:space="preserve">Nuk ka pasur zhvillim të ri si pjesë e kësaj mase. </w:t>
      </w:r>
    </w:p>
    <w:p w:rsidR="00221487" w:rsidRPr="00221487" w:rsidRDefault="00221487" w:rsidP="00221487">
      <w:pPr>
        <w:spacing w:after="0" w:line="240" w:lineRule="auto"/>
        <w:jc w:val="both"/>
        <w:rPr>
          <w:rFonts w:ascii="Times New Roman" w:eastAsia="Times" w:hAnsi="Times New Roman" w:cs="Times New Roman"/>
          <w:i/>
          <w:noProof/>
          <w:lang w:val="sq-AL"/>
        </w:rPr>
      </w:pPr>
    </w:p>
    <w:p w:rsidR="00221487" w:rsidRPr="00221487" w:rsidRDefault="00221487" w:rsidP="00221487">
      <w:pPr>
        <w:spacing w:after="0" w:line="240" w:lineRule="auto"/>
        <w:jc w:val="both"/>
        <w:rPr>
          <w:rFonts w:ascii="Times New Roman" w:eastAsia="Times" w:hAnsi="Times New Roman" w:cs="Times New Roman"/>
          <w:noProof/>
          <w:lang w:val="sq-AL"/>
        </w:rPr>
      </w:pPr>
    </w:p>
    <w:p w:rsidR="00221487" w:rsidRPr="00221487" w:rsidRDefault="00221487" w:rsidP="00221487">
      <w:pPr>
        <w:keepNext/>
        <w:numPr>
          <w:ilvl w:val="2"/>
          <w:numId w:val="7"/>
        </w:numPr>
        <w:spacing w:after="0" w:line="240" w:lineRule="auto"/>
        <w:jc w:val="both"/>
        <w:outlineLvl w:val="2"/>
        <w:rPr>
          <w:rFonts w:ascii="Times New Roman" w:eastAsia="Times" w:hAnsi="Times New Roman" w:cs="Times New Roman"/>
          <w:noProof/>
          <w:lang w:val="sq-AL"/>
        </w:rPr>
      </w:pPr>
      <w:bookmarkStart w:id="31" w:name="_Toc3984172"/>
      <w:bookmarkStart w:id="32" w:name="_Toc3984461"/>
      <w:r w:rsidRPr="00221487">
        <w:rPr>
          <w:rFonts w:ascii="Times New Roman" w:eastAsia="Times" w:hAnsi="Times New Roman" w:cs="Times New Roman"/>
          <w:noProof/>
          <w:lang w:val="sq-AL"/>
        </w:rPr>
        <w:t>Menaxhimi i riskut fiskal</w:t>
      </w:r>
      <w:bookmarkEnd w:id="31"/>
      <w:bookmarkEnd w:id="32"/>
    </w:p>
    <w:p w:rsidR="00221487" w:rsidRPr="00221487" w:rsidRDefault="00221487" w:rsidP="00221487">
      <w:pPr>
        <w:spacing w:after="0" w:line="240" w:lineRule="auto"/>
        <w:jc w:val="both"/>
        <w:rPr>
          <w:rFonts w:ascii="Times New Roman" w:eastAsia="Times" w:hAnsi="Times New Roman" w:cs="Times New Roman"/>
          <w:noProof/>
          <w:highlight w:val="yellow"/>
          <w:lang w:val="sq-AL"/>
        </w:rPr>
      </w:pPr>
    </w:p>
    <w:tbl>
      <w:tblPr>
        <w:tblW w:w="0" w:type="auto"/>
        <w:tblInd w:w="108"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ook w:val="04A0" w:firstRow="1" w:lastRow="0" w:firstColumn="1" w:lastColumn="0" w:noHBand="0" w:noVBand="1"/>
      </w:tblPr>
      <w:tblGrid>
        <w:gridCol w:w="1890"/>
        <w:gridCol w:w="2442"/>
        <w:gridCol w:w="4332"/>
      </w:tblGrid>
      <w:tr w:rsidR="00221487" w:rsidRPr="00221487" w:rsidTr="004342D7">
        <w:tc>
          <w:tcPr>
            <w:tcW w:w="8664" w:type="dxa"/>
            <w:gridSpan w:val="3"/>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i/>
                <w:noProof/>
                <w:lang w:val="sq-AL"/>
              </w:rPr>
            </w:pPr>
            <w:r w:rsidRPr="00221487">
              <w:rPr>
                <w:rFonts w:ascii="Times New Roman" w:eastAsia="Times" w:hAnsi="Times New Roman" w:cs="Times New Roman"/>
                <w:i/>
                <w:noProof/>
                <w:lang w:val="sq-AL"/>
              </w:rPr>
              <w:t>Objektivi</w:t>
            </w:r>
          </w:p>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Aftësi të mjaftueshme për të zbuluar, monitoruar dhe propozuar masa për lehtësimin e risqeve fiskale me të cilat përallet qeveria</w:t>
            </w:r>
          </w:p>
          <w:p w:rsidR="00221487" w:rsidRPr="00221487" w:rsidRDefault="00221487" w:rsidP="00221487">
            <w:pPr>
              <w:spacing w:after="0" w:line="240" w:lineRule="auto"/>
              <w:jc w:val="both"/>
              <w:rPr>
                <w:rFonts w:ascii="Times New Roman" w:eastAsia="Times" w:hAnsi="Times New Roman" w:cs="Times New Roman"/>
                <w:i/>
                <w:noProof/>
                <w:lang w:val="sq-AL"/>
              </w:rPr>
            </w:pPr>
            <w:r w:rsidRPr="00221487">
              <w:rPr>
                <w:rFonts w:ascii="Times New Roman" w:eastAsia="Times" w:hAnsi="Times New Roman" w:cs="Times New Roman"/>
                <w:i/>
                <w:noProof/>
                <w:lang w:val="sq-AL"/>
              </w:rPr>
              <w:t>Treguesi i rezultatit</w:t>
            </w:r>
          </w:p>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 xml:space="preserve">Saktësia e evidentimit të risqeve de e ndikimit të tyre të mundshëm, duke pasur parasysh masat e lehtësimit të aplikuara </w:t>
            </w:r>
          </w:p>
          <w:p w:rsidR="00221487" w:rsidRPr="00221487" w:rsidRDefault="00221487" w:rsidP="00221487">
            <w:pPr>
              <w:spacing w:after="0" w:line="240" w:lineRule="auto"/>
              <w:jc w:val="both"/>
              <w:rPr>
                <w:rFonts w:ascii="Times New Roman" w:eastAsia="Times" w:hAnsi="Times New Roman" w:cs="Times New Roman"/>
                <w:noProof/>
                <w:highlight w:val="yellow"/>
                <w:lang w:val="sq-AL"/>
              </w:rPr>
            </w:pPr>
            <w:r w:rsidRPr="00221487">
              <w:rPr>
                <w:rFonts w:ascii="Times New Roman" w:eastAsia="Times" w:hAnsi="Times New Roman" w:cs="Times New Roman"/>
                <w:noProof/>
                <w:lang w:val="sq-AL"/>
              </w:rPr>
              <w:t xml:space="preserve">Vlera e treguesit për vitin 2018 </w:t>
            </w:r>
            <w:r w:rsidRPr="00221487">
              <w:rPr>
                <w:rFonts w:ascii="Times New Roman" w:eastAsia="Times" w:hAnsi="Times New Roman" w:cs="Times New Roman"/>
                <w:b/>
                <w:noProof/>
                <w:lang w:val="sq-AL"/>
              </w:rPr>
              <w:t>u arrit</w:t>
            </w:r>
            <w:r w:rsidRPr="00221487">
              <w:rPr>
                <w:rFonts w:ascii="Times New Roman" w:eastAsia="Times" w:hAnsi="Times New Roman" w:cs="Times New Roman"/>
                <w:noProof/>
                <w:lang w:val="sq-AL"/>
              </w:rPr>
              <w:t xml:space="preserve"> pasi u plotësua deri në fund të tetorit të vitit 2017. (50%). </w:t>
            </w:r>
          </w:p>
        </w:tc>
      </w:tr>
      <w:tr w:rsidR="00221487" w:rsidRPr="00221487" w:rsidTr="004342D7">
        <w:trPr>
          <w:trHeight w:val="261"/>
        </w:trPr>
        <w:tc>
          <w:tcPr>
            <w:tcW w:w="1890" w:type="dxa"/>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Baza (2016)</w:t>
            </w:r>
          </w:p>
        </w:tc>
        <w:tc>
          <w:tcPr>
            <w:tcW w:w="2442" w:type="dxa"/>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 xml:space="preserve">      2018</w:t>
            </w:r>
          </w:p>
        </w:tc>
        <w:tc>
          <w:tcPr>
            <w:tcW w:w="4332" w:type="dxa"/>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Synimi për 2020</w:t>
            </w:r>
          </w:p>
        </w:tc>
      </w:tr>
      <w:tr w:rsidR="00221487" w:rsidRPr="00221487" w:rsidTr="004342D7">
        <w:trPr>
          <w:trHeight w:val="198"/>
        </w:trPr>
        <w:tc>
          <w:tcPr>
            <w:tcW w:w="1890" w:type="dxa"/>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0%</w:t>
            </w:r>
          </w:p>
        </w:tc>
        <w:tc>
          <w:tcPr>
            <w:tcW w:w="2442" w:type="dxa"/>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 xml:space="preserve">        80%</w:t>
            </w:r>
          </w:p>
        </w:tc>
        <w:tc>
          <w:tcPr>
            <w:tcW w:w="4332" w:type="dxa"/>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New Roman" w:hAnsi="Times New Roman" w:cs="Times New Roman"/>
                <w:noProof/>
                <w:lang w:val="sq-AL"/>
              </w:rPr>
              <w:t xml:space="preserve">100% e kategorive janë të mbuluara nga SFR  </w:t>
            </w:r>
          </w:p>
        </w:tc>
      </w:tr>
    </w:tbl>
    <w:p w:rsidR="00221487" w:rsidRPr="00221487" w:rsidRDefault="00221487" w:rsidP="00221487">
      <w:pPr>
        <w:spacing w:after="0" w:line="240" w:lineRule="auto"/>
        <w:jc w:val="both"/>
        <w:rPr>
          <w:rFonts w:ascii="Times New Roman" w:eastAsia="Times" w:hAnsi="Times New Roman" w:cs="Times New Roman"/>
          <w:noProof/>
          <w:highlight w:val="yellow"/>
          <w:lang w:val="sq-AL"/>
        </w:rPr>
      </w:pPr>
    </w:p>
    <w:p w:rsidR="00221487" w:rsidRPr="00221487" w:rsidRDefault="00221487" w:rsidP="00221487">
      <w:pPr>
        <w:spacing w:after="0" w:line="240" w:lineRule="auto"/>
        <w:jc w:val="both"/>
        <w:rPr>
          <w:rFonts w:ascii="Times New Roman" w:eastAsia="Times" w:hAnsi="Times New Roman" w:cs="Times New Roman"/>
          <w:noProof/>
          <w:highlight w:val="yellow"/>
          <w:lang w:val="sq-AL"/>
        </w:rPr>
      </w:pPr>
    </w:p>
    <w:p w:rsidR="00221487" w:rsidRPr="00221487" w:rsidRDefault="00221487" w:rsidP="00221487">
      <w:pPr>
        <w:spacing w:after="0" w:line="240" w:lineRule="auto"/>
        <w:jc w:val="both"/>
        <w:rPr>
          <w:rFonts w:ascii="Times New Roman" w:eastAsia="Times" w:hAnsi="Times New Roman" w:cs="Times New Roman"/>
          <w:b/>
          <w:i/>
          <w:noProof/>
          <w:lang w:val="sq-AL"/>
        </w:rPr>
      </w:pPr>
      <w:r w:rsidRPr="00221487">
        <w:rPr>
          <w:rFonts w:ascii="Times New Roman" w:eastAsia="Times" w:hAnsi="Times New Roman" w:cs="Times New Roman"/>
          <w:b/>
          <w:noProof/>
          <w:lang w:val="sq-AL"/>
        </w:rPr>
        <w:t xml:space="preserve">Masa 1: Forcimi i menaxhimit të rrezikut fiskal dhe raportimit brenda MFE-së </w:t>
      </w:r>
      <w:r w:rsidRPr="00221487">
        <w:rPr>
          <w:rFonts w:ascii="Times New Roman" w:eastAsia="Times" w:hAnsi="Times New Roman" w:cs="Times New Roman"/>
          <w:b/>
          <w:i/>
          <w:noProof/>
          <w:lang w:val="sq-AL"/>
        </w:rPr>
        <w:t>(në proces/i vonuar)</w:t>
      </w:r>
    </w:p>
    <w:p w:rsidR="00221487" w:rsidRPr="00221487" w:rsidRDefault="00221487" w:rsidP="00221487">
      <w:pPr>
        <w:spacing w:after="0" w:line="240" w:lineRule="auto"/>
        <w:jc w:val="both"/>
        <w:rPr>
          <w:rFonts w:ascii="Times New Roman" w:eastAsia="Times"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Gjatë periudhës shtator-tetor 2018, MFE ka konsoliduar informacionin relativ dhe atë analitik në lidhje me matricën e risqeve kryesore, duke u përqendruar veçanërisht në risqet që lidhen me treguesit makro, KSH-të, PPP-të, pagesat e reja të prapambetura dhe vendimet gjyqësore. Analiza e riskut fiskal, përsa i përket PRF-së, përfundoi me një raport të vetëm, i cili si rrjedhojë u përfshi në një kre të veçantë (K. 8: “Risqet fiskale dhe masat e parandalimit”) të Projekt-ligjit për Buxhetin Vjetor për vitin 2019’s. Në datën 26 tetor 2018, u miratua nga Këshilli i Ministrave dhe u paraqit zyrtarisht në Kuvend, si dhe u botua në faqen e internetit të MFE-së. </w:t>
      </w:r>
      <w:r w:rsidRPr="00221487">
        <w:rPr>
          <w:rFonts w:ascii="Times New Roman" w:eastAsia="Times" w:hAnsi="Times New Roman" w:cs="Times New Roman"/>
          <w:b/>
          <w:noProof/>
          <w:lang w:val="sq-AL"/>
        </w:rPr>
        <w:t xml:space="preserve">Si përfundim, theksohet se për vitin 2018, Pasqyra e Risqeve Fiskale konsiderohet e përfunduar dhe e nxjerrë. </w:t>
      </w:r>
      <w:r w:rsidRPr="00221487">
        <w:rPr>
          <w:rFonts w:ascii="Times New Roman" w:eastAsia="Times" w:hAnsi="Times New Roman" w:cs="Times New Roman"/>
          <w:noProof/>
          <w:lang w:val="sq-AL"/>
        </w:rPr>
        <w:t xml:space="preserve">Niveli i saj i hollësive ishte objekt diskutimi i drejtuesve më të lartë të MFE-së, të cilët vendosën që formati aktual të ishte i tillë, Në këtë drejtim, nuk përjashtohet shtjellimi i mëtejshëm i informacionit PRF në lidhje me përgatitijen dhe nxjerrjen e tij për vitin 2019, brenda kuadrit të Propozimit të Buxhetit për vitin 2020. Botimi i </w:t>
      </w:r>
      <w:r w:rsidRPr="00221487">
        <w:rPr>
          <w:rFonts w:ascii="Times New Roman" w:eastAsia="Times New Roman" w:hAnsi="Times New Roman" w:cs="Times New Roman"/>
          <w:noProof/>
          <w:lang w:val="sq-AL"/>
        </w:rPr>
        <w:t>PRF tregon se është ngritur një infrastrukturë e besueshme e menaxhimit të riskut me qëllim për të përballuar sfidat që dalin në rrugën e zhvillimit të vendit. PRF paraqet risqe të ndryshëm dhe të rëndësishëm fiskalë:</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w:t>
      </w:r>
      <w:r w:rsidRPr="00221487">
        <w:rPr>
          <w:rFonts w:ascii="Times New Roman" w:eastAsia="Times New Roman" w:hAnsi="Times New Roman" w:cs="Times New Roman"/>
          <w:noProof/>
          <w:lang w:val="sq-AL"/>
        </w:rPr>
        <w:tab/>
        <w:t xml:space="preserve">Risqe fiskale që lidhen me supozimet dhe zhvillimet makroekonomike </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w:t>
      </w:r>
      <w:r w:rsidRPr="00221487">
        <w:rPr>
          <w:rFonts w:ascii="Times New Roman" w:eastAsia="Times New Roman" w:hAnsi="Times New Roman" w:cs="Times New Roman"/>
          <w:noProof/>
          <w:lang w:val="sq-AL"/>
        </w:rPr>
        <w:tab/>
        <w:t xml:space="preserve">Risqe fiskale që lidhen me të ardhurat qeveritare </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w:t>
      </w:r>
      <w:r w:rsidRPr="00221487">
        <w:rPr>
          <w:rFonts w:ascii="Times New Roman" w:eastAsia="Times New Roman" w:hAnsi="Times New Roman" w:cs="Times New Roman"/>
          <w:noProof/>
          <w:lang w:val="sq-AL"/>
        </w:rPr>
        <w:tab/>
        <w:t xml:space="preserve">Risqe fiskale që lidhen me shpenzime qeveritare </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w:t>
      </w:r>
      <w:r w:rsidRPr="00221487">
        <w:rPr>
          <w:rFonts w:ascii="Times New Roman" w:eastAsia="Times New Roman" w:hAnsi="Times New Roman" w:cs="Times New Roman"/>
          <w:noProof/>
          <w:lang w:val="sq-AL"/>
        </w:rPr>
        <w:tab/>
      </w:r>
      <w:r w:rsidR="000F2F95">
        <w:rPr>
          <w:rFonts w:ascii="Times New Roman" w:eastAsia="Times New Roman" w:hAnsi="Times New Roman" w:cs="Times New Roman"/>
          <w:noProof/>
          <w:lang w:val="sq-AL"/>
        </w:rPr>
        <w:t>Risqet fiskale nga borxhi dhe garancitë qeveritare</w:t>
      </w:r>
      <w:r w:rsidRPr="00221487">
        <w:rPr>
          <w:rFonts w:ascii="Times New Roman" w:eastAsia="Times New Roman" w:hAnsi="Times New Roman" w:cs="Times New Roman"/>
          <w:noProof/>
          <w:lang w:val="sq-AL"/>
        </w:rPr>
        <w:t xml:space="preserve"> </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w:t>
      </w:r>
      <w:r w:rsidRPr="00221487">
        <w:rPr>
          <w:rFonts w:ascii="Times New Roman" w:eastAsia="Times New Roman" w:hAnsi="Times New Roman" w:cs="Times New Roman"/>
          <w:noProof/>
          <w:lang w:val="sq-AL"/>
        </w:rPr>
        <w:tab/>
        <w:t>Risqet fiskale të partneriteteve publike-private</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w:t>
      </w:r>
      <w:r w:rsidRPr="00221487">
        <w:rPr>
          <w:rFonts w:ascii="Times New Roman" w:eastAsia="Times New Roman" w:hAnsi="Times New Roman" w:cs="Times New Roman"/>
          <w:noProof/>
          <w:lang w:val="sq-AL"/>
        </w:rPr>
        <w:tab/>
        <w:t xml:space="preserve">Risqe fiskale të </w:t>
      </w:r>
      <w:r w:rsidR="000F2F95">
        <w:rPr>
          <w:rFonts w:ascii="Times New Roman" w:eastAsia="Times New Roman" w:hAnsi="Times New Roman" w:cs="Times New Roman"/>
          <w:noProof/>
          <w:lang w:val="sq-AL"/>
        </w:rPr>
        <w:t>ndërmarrjeve</w:t>
      </w:r>
      <w:r w:rsidRPr="00221487">
        <w:rPr>
          <w:rFonts w:ascii="Times New Roman" w:eastAsia="Times New Roman" w:hAnsi="Times New Roman" w:cs="Times New Roman"/>
          <w:noProof/>
          <w:lang w:val="sq-AL"/>
        </w:rPr>
        <w:t xml:space="preserve"> shtetërore </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w:t>
      </w:r>
      <w:r w:rsidRPr="00221487">
        <w:rPr>
          <w:rFonts w:ascii="Times New Roman" w:eastAsia="Times New Roman" w:hAnsi="Times New Roman" w:cs="Times New Roman"/>
          <w:noProof/>
          <w:lang w:val="sq-AL"/>
        </w:rPr>
        <w:tab/>
        <w:t xml:space="preserve">Risqe të tjerë fiskalë </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Për të ndjekur performancën e zbatimit të buxhetit të shtetit, MFE me mbështetjen e FMN dhe BB që nga viti 2017 është duke monitoruar risqet që lidhen me zbatimin e tij. Ky proces synon të rekomandojë zbutjen në kohë dhe/ose parandalimin e rreziqeve fiskale, të ndjekur nga një vendimmarrje, mbi bazën e një analize të thelluar. </w:t>
      </w:r>
      <w:r w:rsidRPr="00221487">
        <w:rPr>
          <w:rFonts w:ascii="Times New Roman" w:eastAsia="Times New Roman" w:hAnsi="Times New Roman" w:cs="Times New Roman"/>
          <w:noProof/>
          <w:lang w:val="sq-AL"/>
        </w:rPr>
        <w:lastRenderedPageBreak/>
        <w:t xml:space="preserve">Risqet fiskale janë faktorë që mund të shkaktojnë devijime nga parashikimet fiskale dhe buxheti gjatë ciklit buxhetor, si rezultat i disa ngjarjeve të paparashikuara. Risqet mund të lindin si rezultat i supozimeve dhe zhvillimeve makroekonomike, vendimeve të politikës fiskale ad-hoc dhe/ose materializimit të detyrimeve të mundshme. </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Vlerësimi i probabilitetit dhe ndikimit të risqeve fiskale bëhet në bazë të analizave dhe parashikimeve të thella të Buxhetit Afatmesëm. Përkatësisht, vlerësohen dy kategori risku:</w:t>
      </w:r>
    </w:p>
    <w:p w:rsidR="00221487" w:rsidRPr="00221487" w:rsidRDefault="00221487" w:rsidP="007C6F79">
      <w:pPr>
        <w:numPr>
          <w:ilvl w:val="0"/>
          <w:numId w:val="36"/>
        </w:numPr>
        <w:spacing w:after="0" w:line="240" w:lineRule="auto"/>
        <w:contextualSpacing/>
        <w:jc w:val="both"/>
        <w:rPr>
          <w:rFonts w:ascii="Times New Roman" w:eastAsia="Times New Roman" w:hAnsi="Times New Roman" w:cs="Times New Roman"/>
          <w:noProof/>
          <w:lang w:val="sq-AL"/>
        </w:rPr>
      </w:pPr>
      <w:r w:rsidRPr="00221487">
        <w:rPr>
          <w:rFonts w:ascii="Times New Roman" w:eastAsia="Times New Roman" w:hAnsi="Times New Roman" w:cs="Times New Roman"/>
          <w:i/>
          <w:noProof/>
          <w:lang w:val="sq-AL"/>
        </w:rPr>
        <w:t xml:space="preserve">"E qartë", </w:t>
      </w:r>
      <w:r w:rsidRPr="00221487">
        <w:rPr>
          <w:rFonts w:ascii="Times New Roman" w:eastAsia="Times New Roman" w:hAnsi="Times New Roman" w:cs="Times New Roman"/>
          <w:noProof/>
          <w:lang w:val="sq-AL"/>
        </w:rPr>
        <w:t>ose risqet që lidhen me supozimet dhe zhvillimet makroekonomike, të ardhurat e qeverisë, shpenzimet dhe administrimin e borxhit, etj.</w:t>
      </w:r>
    </w:p>
    <w:p w:rsidR="00221487" w:rsidRPr="00221487" w:rsidRDefault="00221487" w:rsidP="007C6F79">
      <w:pPr>
        <w:numPr>
          <w:ilvl w:val="0"/>
          <w:numId w:val="36"/>
        </w:numPr>
        <w:spacing w:after="0" w:line="240" w:lineRule="auto"/>
        <w:contextualSpacing/>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Detyrime "</w:t>
      </w:r>
      <w:r w:rsidRPr="00221487">
        <w:rPr>
          <w:rFonts w:ascii="Times New Roman" w:eastAsia="Times New Roman" w:hAnsi="Times New Roman" w:cs="Times New Roman"/>
          <w:i/>
          <w:noProof/>
          <w:lang w:val="sq-AL"/>
        </w:rPr>
        <w:t>të nënkuptuara</w:t>
      </w:r>
      <w:r w:rsidRPr="00221487">
        <w:rPr>
          <w:rFonts w:ascii="Times New Roman" w:eastAsia="Times New Roman" w:hAnsi="Times New Roman" w:cs="Times New Roman"/>
          <w:noProof/>
          <w:lang w:val="sq-AL"/>
        </w:rPr>
        <w:t>" ose të kushtëzuara, PPP-të, ato të vetëqeverisjes lokale, ndërmarrjeve publike në pronësi të shtetit, risqe të tjera siç janë vendimet gjyqësore, katastrofat natyrore dhe sektori financiar apo risqet afatgjata.</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Si detyrë kryesore, gjatë vitit 2018, NJRF ka monitoruar treguesit kryesorë financiarë të KSh-ve, duke u përqëndruar në riksqet që vijnë nga sektori i energjisë. Çdo tre muaj, NJRF përgatit një raport të konsoliduar të monitorimit të KSH-ve.Një nga prioritetet e NJRF për vitin 2019 është përmirësimi i procesit të raportimit financiar të KSH-ve. Pas sa më sipër, ka pasur disa përmirësime në procesin e raportimit, siç janë fluksi i informacionit, afatet dhe formatet e raportimit. Me Udhëzimin për Zbatimin e Buxhetit për vitin 2019, KSH-të duhet të raportojnë tek njësia përgjegjëse për monitorimin e risqeve fiskale (MFE),periodikisht në baza tremujore dhe sa herë kërkohet nga MFE për periudha të caktuara apo specifikime eventuale. Këto informacione dërgohen me shkrim dhe në formë elektronike si më poshtë:</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 KSH-të në sektorin e energjisë (KESH, </w:t>
      </w:r>
      <w:r w:rsidRPr="00B52EED">
        <w:rPr>
          <w:rFonts w:ascii="Times New Roman" w:eastAsia="Times New Roman" w:hAnsi="Times New Roman" w:cs="Times New Roman"/>
          <w:noProof/>
          <w:lang w:val="sq-AL"/>
        </w:rPr>
        <w:t>OSHEE dhe OST) dërgojnë</w:t>
      </w:r>
      <w:r w:rsidRPr="00221487">
        <w:rPr>
          <w:rFonts w:ascii="Times New Roman" w:eastAsia="Times New Roman" w:hAnsi="Times New Roman" w:cs="Times New Roman"/>
          <w:noProof/>
          <w:lang w:val="sq-AL"/>
        </w:rPr>
        <w:t xml:space="preserve"> pasqyra financiare (bilancin e gjendjes, pasqyrën e të ardhurave, pasqyrën për flukset e parave).</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KSH-të e tjera (jo nga sektori i energjisë), dërgojnë të dhëna kryesore financiare, (të konsoliduara në një Shtojcë).</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Për më tepër, është planifikuar për në shkurt 2019 një asistencë teknike e Bankës Botërore, me qëllim përmirësimin e raportit të konsoliduar të monitorimit të KSH-ve. Në këtë drejtim, deri në fund të vitit 2019 statusi i kësaj nën-mase do të përfundojë.</w:t>
      </w: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keepNext/>
        <w:numPr>
          <w:ilvl w:val="1"/>
          <w:numId w:val="7"/>
        </w:numPr>
        <w:spacing w:after="0" w:line="240" w:lineRule="auto"/>
        <w:jc w:val="both"/>
        <w:outlineLvl w:val="1"/>
        <w:rPr>
          <w:rFonts w:ascii="Times New Roman" w:eastAsia="Times" w:hAnsi="Times New Roman" w:cs="Times New Roman"/>
          <w:b/>
          <w:bCs/>
          <w:noProof/>
          <w:lang w:val="sq-AL"/>
        </w:rPr>
      </w:pPr>
      <w:bookmarkStart w:id="33" w:name="_Toc507758747"/>
      <w:bookmarkStart w:id="34" w:name="_Toc511836605"/>
      <w:bookmarkStart w:id="35" w:name="_Toc3984462"/>
      <w:r w:rsidRPr="00221487">
        <w:rPr>
          <w:rFonts w:ascii="Times New Roman" w:eastAsia="Times" w:hAnsi="Times New Roman" w:cs="Times New Roman"/>
          <w:b/>
          <w:bCs/>
          <w:noProof/>
          <w:lang w:val="sq-AL"/>
        </w:rPr>
        <w:t xml:space="preserve">Shtylla 2- </w:t>
      </w:r>
      <w:bookmarkEnd w:id="33"/>
      <w:r w:rsidRPr="00221487">
        <w:rPr>
          <w:rFonts w:ascii="Times New Roman" w:eastAsia="Times" w:hAnsi="Times New Roman" w:cs="Times New Roman"/>
          <w:b/>
          <w:bCs/>
          <w:noProof/>
          <w:lang w:val="sq-AL"/>
        </w:rPr>
        <w:t>Planifikim dhe buxhetim i shpenzimeve publike i mirë – integruar dhe efikas</w:t>
      </w:r>
      <w:bookmarkEnd w:id="34"/>
      <w:bookmarkEnd w:id="35"/>
      <w:r w:rsidRPr="00221487">
        <w:rPr>
          <w:rFonts w:ascii="Times New Roman" w:eastAsia="Times" w:hAnsi="Times New Roman" w:cs="Times New Roman"/>
          <w:b/>
          <w:bCs/>
          <w:noProof/>
          <w:lang w:val="sq-AL"/>
        </w:rPr>
        <w:t xml:space="preserve"> </w:t>
      </w:r>
    </w:p>
    <w:p w:rsidR="00221487" w:rsidRPr="00221487" w:rsidRDefault="00221487" w:rsidP="00221487">
      <w:pPr>
        <w:keepNext/>
        <w:spacing w:after="0" w:line="240" w:lineRule="auto"/>
        <w:jc w:val="both"/>
        <w:outlineLvl w:val="1"/>
        <w:rPr>
          <w:rFonts w:ascii="Times New Roman" w:eastAsia="Times" w:hAnsi="Times New Roman" w:cs="Times New Roman"/>
          <w:b/>
          <w:bCs/>
          <w:noProof/>
          <w:lang w:val="sq-AL"/>
        </w:rPr>
      </w:pPr>
      <w:r w:rsidRPr="00221487">
        <w:rPr>
          <w:rFonts w:ascii="Times New Roman" w:eastAsia="Times" w:hAnsi="Times New Roman" w:cs="Times New Roman"/>
          <w:b/>
          <w:bCs/>
          <w:noProof/>
          <w:lang w:val="sq-AL"/>
        </w:rPr>
        <w:t xml:space="preserve"> </w:t>
      </w:r>
    </w:p>
    <w:p w:rsidR="00221487" w:rsidRPr="00221487" w:rsidRDefault="00221487" w:rsidP="00221487">
      <w:pPr>
        <w:keepNext/>
        <w:numPr>
          <w:ilvl w:val="2"/>
          <w:numId w:val="0"/>
        </w:numPr>
        <w:spacing w:after="0" w:line="240" w:lineRule="auto"/>
        <w:ind w:left="720" w:hanging="720"/>
        <w:jc w:val="both"/>
        <w:outlineLvl w:val="2"/>
        <w:rPr>
          <w:rFonts w:ascii="Times New Roman" w:eastAsia="Times New Roman" w:hAnsi="Times New Roman" w:cs="Times New Roman"/>
          <w:noProof/>
          <w:lang w:val="sq-AL"/>
        </w:rPr>
      </w:pPr>
      <w:bookmarkStart w:id="36" w:name="_Toc3984174"/>
      <w:bookmarkStart w:id="37" w:name="_Toc3984463"/>
      <w:r w:rsidRPr="00221487">
        <w:rPr>
          <w:rFonts w:ascii="Times New Roman" w:eastAsia="Times New Roman" w:hAnsi="Times New Roman" w:cs="Times New Roman"/>
          <w:noProof/>
          <w:lang w:val="sq-AL"/>
        </w:rPr>
        <w:t>Përmbledhje e ecurisë së Shtyllës 2</w:t>
      </w:r>
    </w:p>
    <w:bookmarkEnd w:id="36"/>
    <w:bookmarkEnd w:id="37"/>
    <w:p w:rsidR="00221487" w:rsidRPr="00221487" w:rsidRDefault="00221487" w:rsidP="00221487">
      <w:pPr>
        <w:keepNext/>
        <w:spacing w:after="0" w:line="240" w:lineRule="auto"/>
        <w:ind w:left="720"/>
        <w:jc w:val="both"/>
        <w:outlineLvl w:val="2"/>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bCs/>
          <w:noProof/>
          <w:lang w:val="sq-AL"/>
        </w:rPr>
      </w:pPr>
      <w:r w:rsidRPr="00221487">
        <w:rPr>
          <w:rFonts w:ascii="Times New Roman" w:eastAsia="Times New Roman" w:hAnsi="Times New Roman" w:cs="Times New Roman"/>
          <w:noProof/>
          <w:lang w:val="sq-AL"/>
        </w:rPr>
        <w:t xml:space="preserve">Shtylla 2 </w:t>
      </w:r>
      <w:r w:rsidRPr="00221487">
        <w:rPr>
          <w:rFonts w:ascii="Times New Roman" w:eastAsia="Times New Roman" w:hAnsi="Times New Roman" w:cs="Times New Roman"/>
          <w:b/>
          <w:noProof/>
          <w:lang w:val="sq-AL"/>
        </w:rPr>
        <w:t>përfshin pesë objektiva, të cilat tregojnë ecuri të përzier ku dy objektiva janë arritur dhe për tre nuk ka të dhëna të disponueshme</w:t>
      </w:r>
      <w:r w:rsidRPr="00221487">
        <w:rPr>
          <w:rFonts w:ascii="Times New Roman" w:eastAsia="Times New Roman" w:hAnsi="Times New Roman" w:cs="Times New Roman"/>
          <w:noProof/>
          <w:lang w:val="sq-AL"/>
        </w:rPr>
        <w:t>. Objektivi i parë i Shtyllës 2 për zhvillimin dhe rishikimin e politikave strategjike është "</w:t>
      </w:r>
      <w:r w:rsidRPr="00221487">
        <w:rPr>
          <w:rFonts w:ascii="Times New Roman" w:eastAsia="Times New Roman" w:hAnsi="Times New Roman" w:cs="Times New Roman"/>
          <w:i/>
          <w:noProof/>
          <w:lang w:val="sq-AL"/>
        </w:rPr>
        <w:t>Kuadri procedural i kujdesshëm dhe i rreptë për përgatitjen e PBA-së. Struktura e PBA-së që përfshinë SKZHI-në, qeverinë dhe prioritetet strategjike të sektorit për periudhën afatmesme, sjell rezultatet e dëshiruara brenda burimeve të qëndrueshme financiare për tre vitet e ardhshme</w:t>
      </w:r>
      <w:r w:rsidRPr="00221487">
        <w:rPr>
          <w:rFonts w:ascii="Times New Roman" w:eastAsia="Times New Roman" w:hAnsi="Times New Roman" w:cs="Times New Roman"/>
          <w:noProof/>
          <w:lang w:val="sq-AL"/>
        </w:rPr>
        <w:t xml:space="preserve"> ".</w:t>
      </w:r>
      <w:r w:rsidRPr="00221487">
        <w:rPr>
          <w:rFonts w:ascii="Times New Roman" w:eastAsia="Times New Roman" w:hAnsi="Times New Roman" w:cs="Times New Roman"/>
          <w:bCs/>
          <w:noProof/>
          <w:lang w:val="sq-AL"/>
        </w:rPr>
        <w:t xml:space="preserve"> Ai përfshin dy tregues të rezultateve. Treguesi i rezultatit 1 “Raporti ndërmjet totalit të fondeve të vlerësuara në strategjitë sektoriale dhe financimit total të evidentuar për sektorët korrespondues brenda PBA është 90%", nuk është i disponueshëm.</w:t>
      </w: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Treguesi i rezultatit 2: "Shpenzimet e përgjithshme të planifikuara (dhe të hyrat) për PBA-në e miratuara në vitin n / Shpenzimet totale të planifikuara (dhe të ardhurat) në vitin n në buxhetin vjetor janë 0%", çka nuk është arritur pasi nuk duhej të kishte devijim ndërmjet shpenzimeve totale të planifikuara të miratuara për vitin e parë të PBA-së kundrejt shpenzimeve totale të planifikuara të miratuara në Buxhetin Vjetor 2018.</w:t>
      </w: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Përsa i përket planifikimit, vlerësimit dhe përfshirjes në buxhet të investimit kapital, </w:t>
      </w:r>
      <w:r w:rsidRPr="00221487">
        <w:rPr>
          <w:rFonts w:ascii="Times New Roman" w:eastAsia="Times New Roman" w:hAnsi="Times New Roman" w:cs="Times New Roman"/>
          <w:b/>
          <w:noProof/>
          <w:lang w:val="sq-AL"/>
        </w:rPr>
        <w:t>objektivi i dytë</w:t>
      </w:r>
      <w:r w:rsidRPr="00221487">
        <w:rPr>
          <w:rFonts w:ascii="Times New Roman" w:eastAsia="Times New Roman" w:hAnsi="Times New Roman" w:cs="Times New Roman"/>
          <w:noProof/>
          <w:lang w:val="sq-AL"/>
        </w:rPr>
        <w:t xml:space="preserve"> është "</w:t>
      </w:r>
      <w:r w:rsidRPr="00221487">
        <w:rPr>
          <w:rFonts w:ascii="Times New Roman" w:eastAsia="Times New Roman" w:hAnsi="Times New Roman" w:cs="Times New Roman"/>
          <w:i/>
          <w:noProof/>
          <w:lang w:val="sq-AL"/>
        </w:rPr>
        <w:t>Një proces i fuqishëm për vlerësimin teknik dhe financiar të të gjitha propozimeve të mëdha për projektet e investimeve publike para shqyrtimit të tyre nga Komiteti i Buxhetit të Kabinetit për përfshirjen e tyre në buxhet</w:t>
      </w:r>
      <w:r w:rsidRPr="00221487">
        <w:rPr>
          <w:rFonts w:ascii="Times New Roman" w:eastAsia="Times New Roman" w:hAnsi="Times New Roman" w:cs="Times New Roman"/>
          <w:noProof/>
          <w:lang w:val="sq-AL"/>
        </w:rPr>
        <w:t>. Treguesi i rezultatit: objektivi i trendit rritës "</w:t>
      </w:r>
      <w:r w:rsidRPr="00221487">
        <w:rPr>
          <w:rFonts w:ascii="Times New Roman" w:eastAsia="Times New Roman" w:hAnsi="Times New Roman" w:cs="Times New Roman"/>
          <w:i/>
          <w:noProof/>
          <w:lang w:val="sq-AL"/>
        </w:rPr>
        <w:t xml:space="preserve">pjesa e projekteve të investimeve publike propozohet në bazë të </w:t>
      </w:r>
      <w:r w:rsidRPr="00221487">
        <w:rPr>
          <w:rFonts w:ascii="Times New Roman" w:eastAsia="Times New Roman" w:hAnsi="Times New Roman" w:cs="Times New Roman"/>
          <w:i/>
          <w:noProof/>
          <w:lang w:val="sq-AL"/>
        </w:rPr>
        <w:lastRenderedPageBreak/>
        <w:t>prioriteteve strategjike të qeverisë</w:t>
      </w:r>
      <w:r w:rsidRPr="00221487">
        <w:rPr>
          <w:rFonts w:ascii="Times New Roman" w:eastAsia="Times New Roman" w:hAnsi="Times New Roman" w:cs="Times New Roman"/>
          <w:noProof/>
          <w:lang w:val="sq-AL"/>
        </w:rPr>
        <w:t xml:space="preserve">", është </w:t>
      </w:r>
      <w:r w:rsidRPr="00221487">
        <w:rPr>
          <w:rFonts w:ascii="Times New Roman" w:eastAsia="Times New Roman" w:hAnsi="Times New Roman" w:cs="Times New Roman"/>
          <w:b/>
          <w:noProof/>
          <w:lang w:val="sq-AL"/>
        </w:rPr>
        <w:t>përmbushur</w:t>
      </w:r>
      <w:r w:rsidRPr="00221487">
        <w:rPr>
          <w:rFonts w:ascii="Times New Roman" w:eastAsia="Times New Roman" w:hAnsi="Times New Roman" w:cs="Times New Roman"/>
          <w:noProof/>
          <w:lang w:val="sq-AL"/>
        </w:rPr>
        <w:t xml:space="preserve"> me 64 përqind të projekteve investuese të përfshira në PBA; dhe 80 përqind e projekteve të propozuara të bazuara në prioritetet strategjike.</w:t>
      </w:r>
    </w:p>
    <w:p w:rsidR="00221487" w:rsidRPr="00221487" w:rsidRDefault="00221487" w:rsidP="00221487">
      <w:pPr>
        <w:spacing w:after="0" w:line="240" w:lineRule="auto"/>
        <w:jc w:val="both"/>
        <w:rPr>
          <w:rFonts w:ascii="Times New Roman" w:eastAsia="Times New Roman" w:hAnsi="Times New Roman" w:cs="Times New Roman"/>
          <w:noProof/>
          <w:highlight w:val="yellow"/>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b/>
          <w:noProof/>
          <w:lang w:val="sq-AL"/>
        </w:rPr>
        <w:t>Objektivi i tretë i Shtyllës</w:t>
      </w:r>
      <w:r w:rsidRPr="00221487">
        <w:rPr>
          <w:rFonts w:ascii="Times New Roman" w:eastAsia="Times New Roman" w:hAnsi="Times New Roman" w:cs="Times New Roman"/>
          <w:noProof/>
          <w:lang w:val="sq-AL"/>
        </w:rPr>
        <w:t xml:space="preserve"> është "</w:t>
      </w:r>
      <w:r w:rsidRPr="00221487">
        <w:rPr>
          <w:rFonts w:ascii="Times New Roman" w:eastAsia="Times New Roman" w:hAnsi="Times New Roman" w:cs="Times New Roman"/>
          <w:i/>
          <w:noProof/>
          <w:lang w:val="sq-AL"/>
        </w:rPr>
        <w:t xml:space="preserve">Forcimi i procesit dhe i kapacitetit institucional për </w:t>
      </w:r>
      <w:r w:rsidR="000F2F95">
        <w:rPr>
          <w:rFonts w:ascii="Times New Roman" w:eastAsia="Times New Roman" w:hAnsi="Times New Roman" w:cs="Times New Roman"/>
          <w:i/>
          <w:noProof/>
          <w:lang w:val="sq-AL"/>
        </w:rPr>
        <w:t>nisjen</w:t>
      </w:r>
      <w:r w:rsidRPr="00221487">
        <w:rPr>
          <w:rFonts w:ascii="Times New Roman" w:eastAsia="Times New Roman" w:hAnsi="Times New Roman" w:cs="Times New Roman"/>
          <w:i/>
          <w:noProof/>
          <w:lang w:val="sq-AL"/>
        </w:rPr>
        <w:t>, vlerësimin, caktimin e prioriteteve dhe miratimin e projekteve të investimeve kapitale</w:t>
      </w:r>
      <w:r w:rsidRPr="00221487">
        <w:rPr>
          <w:rFonts w:ascii="Times New Roman" w:eastAsia="Times New Roman" w:hAnsi="Times New Roman" w:cs="Times New Roman"/>
          <w:noProof/>
          <w:lang w:val="sq-AL"/>
        </w:rPr>
        <w:t>". Treguesi tjetër i rezultatit është "</w:t>
      </w:r>
      <w:r w:rsidRPr="00221487">
        <w:rPr>
          <w:rFonts w:ascii="Times New Roman" w:eastAsia="Times New Roman" w:hAnsi="Times New Roman" w:cs="Times New Roman"/>
          <w:i/>
          <w:noProof/>
          <w:lang w:val="sq-AL"/>
        </w:rPr>
        <w:t>Disbursimet aktuale për projektet e investimeve të mëdha në krahasim me disbursimet e planifikuara së bashku me shpjegimin e ndryshimeve</w:t>
      </w:r>
      <w:r w:rsidRPr="00221487">
        <w:rPr>
          <w:rFonts w:ascii="Times New Roman" w:eastAsia="Times New Roman" w:hAnsi="Times New Roman" w:cs="Times New Roman"/>
          <w:noProof/>
          <w:lang w:val="sq-AL"/>
        </w:rPr>
        <w:t xml:space="preserve">", i cili </w:t>
      </w:r>
      <w:r w:rsidRPr="00221487">
        <w:rPr>
          <w:rFonts w:ascii="Times New Roman" w:eastAsia="Times New Roman" w:hAnsi="Times New Roman" w:cs="Times New Roman"/>
          <w:b/>
          <w:noProof/>
          <w:lang w:val="sq-AL"/>
        </w:rPr>
        <w:t>u arrit</w:t>
      </w:r>
      <w:r w:rsidRPr="00221487">
        <w:rPr>
          <w:rFonts w:ascii="Times New Roman" w:eastAsia="Times New Roman" w:hAnsi="Times New Roman" w:cs="Times New Roman"/>
          <w:noProof/>
          <w:lang w:val="sq-AL"/>
        </w:rPr>
        <w:t xml:space="preserve"> duke arritur synimin prej 97 përqind. </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b/>
          <w:noProof/>
          <w:lang w:val="sq-AL"/>
        </w:rPr>
        <w:t xml:space="preserve">Objektivi i katërt </w:t>
      </w:r>
      <w:r w:rsidRPr="00221487">
        <w:rPr>
          <w:rFonts w:ascii="Times New Roman" w:eastAsia="Times New Roman" w:hAnsi="Times New Roman" w:cs="Times New Roman"/>
          <w:noProof/>
          <w:lang w:val="sq-AL"/>
        </w:rPr>
        <w:t>i Shtyllës 2 lidhet me kontrollet shumëvjeçare të angazhimeve: "</w:t>
      </w:r>
      <w:r w:rsidRPr="00221487">
        <w:rPr>
          <w:rFonts w:ascii="Times New Roman" w:eastAsia="Times New Roman" w:hAnsi="Times New Roman" w:cs="Times New Roman"/>
          <w:i/>
          <w:noProof/>
          <w:lang w:val="sq-AL"/>
        </w:rPr>
        <w:t>Angazhimet afatmesme kontrollohen në mënyrë të plotë brenda kufijve të përcaktuar nga Qeveria dhe Parlamenti përmes Buxhetit dhe ligjeve, rregulloreve dhe udhëzimeve përkatëse</w:t>
      </w:r>
      <w:r w:rsidRPr="00221487">
        <w:rPr>
          <w:rFonts w:ascii="Times New Roman" w:eastAsia="Times New Roman" w:hAnsi="Times New Roman" w:cs="Times New Roman"/>
          <w:noProof/>
          <w:lang w:val="sq-AL"/>
        </w:rPr>
        <w:t>". Ai përfshin tre tregues të rezultateve aktuale, treguesin e rezultatit 1 "</w:t>
      </w:r>
      <w:r w:rsidRPr="00221487">
        <w:rPr>
          <w:rFonts w:ascii="Times New Roman" w:eastAsia="Times New Roman" w:hAnsi="Times New Roman" w:cs="Times New Roman"/>
          <w:i/>
          <w:noProof/>
          <w:lang w:val="sq-AL"/>
        </w:rPr>
        <w:t>Shuma e angazhuar në projekte shumëvjeçare për çdo vit që tejkalon buxhetet e aprovuara për ato projekte është e barabartë me zero</w:t>
      </w:r>
      <w:r w:rsidRPr="00221487">
        <w:rPr>
          <w:rFonts w:ascii="Times New Roman" w:eastAsia="Times New Roman" w:hAnsi="Times New Roman" w:cs="Times New Roman"/>
          <w:noProof/>
          <w:lang w:val="sq-AL"/>
        </w:rPr>
        <w:t xml:space="preserve">", i cili </w:t>
      </w:r>
      <w:r w:rsidRPr="00221487">
        <w:rPr>
          <w:rFonts w:ascii="Times New Roman" w:eastAsia="Times New Roman" w:hAnsi="Times New Roman" w:cs="Times New Roman"/>
          <w:b/>
          <w:noProof/>
          <w:lang w:val="sq-AL"/>
        </w:rPr>
        <w:t>u arrit</w:t>
      </w:r>
      <w:r w:rsidRPr="00221487">
        <w:rPr>
          <w:rFonts w:ascii="Times New Roman" w:eastAsia="Times New Roman" w:hAnsi="Times New Roman" w:cs="Times New Roman"/>
          <w:noProof/>
          <w:lang w:val="sq-AL"/>
        </w:rPr>
        <w:t xml:space="preserve"> pasi hendeku tregoi një tendencë në ulje nga 682 milion LEK në vitin 2017, në 448 milion LEK në vitin 2018; dhe treguesi i rezultatit 2 "</w:t>
      </w:r>
      <w:r w:rsidRPr="00221487">
        <w:rPr>
          <w:rFonts w:ascii="Times New Roman" w:eastAsia="Times New Roman" w:hAnsi="Times New Roman" w:cs="Times New Roman"/>
          <w:i/>
          <w:noProof/>
          <w:lang w:val="sq-AL"/>
        </w:rPr>
        <w:t>Për të gjitha BI on-line, të gjitha projektet e mëdha janë para-angazhuar në sistem bazuar në oraret e parashikuara të disbursimit të miratuara në procesin e Buxhetit, para se të fillojë veprimi i prokurimit</w:t>
      </w:r>
      <w:r w:rsidRPr="00221487">
        <w:rPr>
          <w:rFonts w:ascii="Times New Roman" w:eastAsia="Times New Roman" w:hAnsi="Times New Roman" w:cs="Times New Roman"/>
          <w:noProof/>
          <w:lang w:val="sq-AL"/>
        </w:rPr>
        <w:t xml:space="preserve">" </w:t>
      </w:r>
      <w:r w:rsidRPr="00221487">
        <w:rPr>
          <w:rFonts w:ascii="Times New Roman" w:eastAsia="Times New Roman" w:hAnsi="Times New Roman" w:cs="Times New Roman"/>
          <w:b/>
          <w:noProof/>
          <w:lang w:val="sq-AL"/>
        </w:rPr>
        <w:t>nuk ishte i disponueshëm</w:t>
      </w:r>
      <w:r w:rsidRPr="00221487">
        <w:rPr>
          <w:rFonts w:ascii="Times New Roman" w:eastAsia="Times New Roman" w:hAnsi="Times New Roman" w:cs="Times New Roman"/>
          <w:noProof/>
          <w:lang w:val="sq-AL"/>
        </w:rPr>
        <w:t xml:space="preserve"> pasi SFQ dhe APP nuk janë sisteme të integruar ende, për të siguruar që fondet janë para-angazhuar në sistemin e Thesarit para fillimit të procesit të prokurimit; dhe treguesi i rezultatit 3 "</w:t>
      </w:r>
      <w:r w:rsidRPr="00221487">
        <w:rPr>
          <w:rFonts w:ascii="Times New Roman" w:eastAsia="Times New Roman" w:hAnsi="Times New Roman" w:cs="Times New Roman"/>
          <w:i/>
          <w:noProof/>
          <w:lang w:val="sq-AL"/>
        </w:rPr>
        <w:t>Asnjë vonesë pagese nuk është regjistruar në aktivitetet e projektit të investimeve kapitale shumëvjeçare</w:t>
      </w:r>
      <w:r w:rsidRPr="00221487">
        <w:rPr>
          <w:rFonts w:ascii="Times New Roman" w:eastAsia="Times New Roman" w:hAnsi="Times New Roman" w:cs="Times New Roman"/>
          <w:noProof/>
          <w:lang w:val="sq-AL"/>
        </w:rPr>
        <w:t xml:space="preserve"> </w:t>
      </w:r>
      <w:r w:rsidRPr="00221487">
        <w:rPr>
          <w:rFonts w:ascii="Times New Roman" w:eastAsia="Times New Roman" w:hAnsi="Times New Roman" w:cs="Times New Roman"/>
          <w:i/>
          <w:noProof/>
          <w:lang w:val="sq-AL"/>
        </w:rPr>
        <w:t>pas 3 vjetësh</w:t>
      </w:r>
      <w:r w:rsidRPr="00221487">
        <w:rPr>
          <w:rFonts w:ascii="Times New Roman" w:eastAsia="Times New Roman" w:hAnsi="Times New Roman" w:cs="Times New Roman"/>
          <w:noProof/>
          <w:lang w:val="sq-AL"/>
        </w:rPr>
        <w:t xml:space="preserve">" </w:t>
      </w:r>
      <w:r w:rsidRPr="00221487">
        <w:rPr>
          <w:rFonts w:ascii="Times New Roman" w:eastAsia="Times New Roman" w:hAnsi="Times New Roman" w:cs="Times New Roman"/>
          <w:b/>
          <w:noProof/>
          <w:lang w:val="sq-AL"/>
        </w:rPr>
        <w:t>nuk mund të matet</w:t>
      </w:r>
      <w:r w:rsidRPr="00221487">
        <w:rPr>
          <w:rFonts w:ascii="Times New Roman" w:eastAsia="Times New Roman" w:hAnsi="Times New Roman" w:cs="Times New Roman"/>
          <w:noProof/>
          <w:lang w:val="sq-AL"/>
        </w:rPr>
        <w:t xml:space="preserve"> pasi efektet e zbatimit të kontrollit të zotimeve shumëvjeçare në SFQ do të jenë të dukshme në vitin 2019.</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b/>
          <w:noProof/>
          <w:lang w:val="sq-AL"/>
        </w:rPr>
        <w:t>Objektivi i pestë dhe i fundit i Shtyllës 2</w:t>
      </w:r>
      <w:r w:rsidRPr="00221487">
        <w:rPr>
          <w:rFonts w:ascii="Times New Roman" w:eastAsia="Times New Roman" w:hAnsi="Times New Roman" w:cs="Times New Roman"/>
          <w:noProof/>
          <w:lang w:val="sq-AL"/>
        </w:rPr>
        <w:t xml:space="preserve"> është: "Menaxhimi i matur, efektiv dhe efikas financiar i qeverive lokale", mbështetur nga tre tregues të rezultateve: treguesi i rezultatit 1 "</w:t>
      </w:r>
      <w:r w:rsidRPr="00221487">
        <w:rPr>
          <w:rFonts w:ascii="Times New Roman" w:eastAsia="Times New Roman" w:hAnsi="Times New Roman" w:cs="Times New Roman"/>
          <w:i/>
          <w:noProof/>
          <w:lang w:val="sq-AL"/>
        </w:rPr>
        <w:t>Përmirësimi i grumbullimit dhe administrimit të taksave nga komunat pas reformës së re administrative territoriale</w:t>
      </w:r>
      <w:r w:rsidRPr="00221487">
        <w:rPr>
          <w:rFonts w:ascii="Times New Roman" w:eastAsia="Times New Roman" w:hAnsi="Times New Roman" w:cs="Times New Roman"/>
          <w:noProof/>
          <w:lang w:val="sq-AL"/>
        </w:rPr>
        <w:t xml:space="preserve">", i cili </w:t>
      </w:r>
      <w:r w:rsidRPr="00221487">
        <w:rPr>
          <w:rFonts w:ascii="Times New Roman" w:eastAsia="Times New Roman" w:hAnsi="Times New Roman" w:cs="Times New Roman"/>
          <w:b/>
          <w:noProof/>
          <w:lang w:val="sq-AL"/>
        </w:rPr>
        <w:t>u arrit</w:t>
      </w:r>
      <w:r w:rsidRPr="00221487">
        <w:rPr>
          <w:rFonts w:ascii="Times New Roman" w:eastAsia="Times New Roman" w:hAnsi="Times New Roman" w:cs="Times New Roman"/>
          <w:noProof/>
          <w:lang w:val="sq-AL"/>
        </w:rPr>
        <w:t>. Ky tregues mat performancën e të ardhurave në nivel vendor përmes: (1) raportit të të ardhurave vjetore totale të të ardhurave të qeverisë vendore kundrejt të ardhurave totale të qeverisë, dhe (2) raportit të rritjes nga viti i mëparshëm. Treguesi i rezultatit 2 "</w:t>
      </w:r>
      <w:r w:rsidRPr="00221487">
        <w:rPr>
          <w:rFonts w:ascii="Times New Roman" w:eastAsia="Times New Roman" w:hAnsi="Times New Roman" w:cs="Times New Roman"/>
          <w:i/>
          <w:noProof/>
          <w:lang w:val="sq-AL"/>
        </w:rPr>
        <w:t>Rritja e pjesës së shpenzimeve të investimeve në buxhetet vendore, krahasuar me shpenzimet</w:t>
      </w:r>
      <w:r w:rsidRPr="00221487">
        <w:rPr>
          <w:rFonts w:ascii="Times New Roman" w:eastAsia="Times New Roman" w:hAnsi="Times New Roman" w:cs="Times New Roman"/>
          <w:noProof/>
          <w:lang w:val="sq-AL"/>
        </w:rPr>
        <w:t xml:space="preserve">" është </w:t>
      </w:r>
      <w:r w:rsidRPr="00221487">
        <w:rPr>
          <w:rFonts w:ascii="Times New Roman" w:eastAsia="Times New Roman" w:hAnsi="Times New Roman" w:cs="Times New Roman"/>
          <w:b/>
          <w:noProof/>
          <w:lang w:val="sq-AL"/>
        </w:rPr>
        <w:t>arritur</w:t>
      </w:r>
      <w:r w:rsidRPr="00221487">
        <w:rPr>
          <w:rFonts w:ascii="Times New Roman" w:eastAsia="Times New Roman" w:hAnsi="Times New Roman" w:cs="Times New Roman"/>
          <w:noProof/>
          <w:lang w:val="sq-AL"/>
        </w:rPr>
        <w:t>. Treguesi i rezultatit 3 "</w:t>
      </w:r>
      <w:r w:rsidRPr="00221487">
        <w:rPr>
          <w:rFonts w:ascii="Times New Roman" w:eastAsia="Times New Roman" w:hAnsi="Times New Roman" w:cs="Times New Roman"/>
          <w:i/>
          <w:noProof/>
          <w:lang w:val="sq-AL"/>
        </w:rPr>
        <w:t>Çdo raport i auditimit të jashtëm mbi funksionimin e njësive të vetëqeverisjes lokale duhet të jetë në dispozicion të publikut, sipas legjislacionit (ligji i ri për qeverisjen vendore</w:t>
      </w:r>
      <w:r w:rsidRPr="00221487">
        <w:rPr>
          <w:rFonts w:ascii="Times New Roman" w:eastAsia="Times New Roman" w:hAnsi="Times New Roman" w:cs="Times New Roman"/>
          <w:noProof/>
          <w:lang w:val="sq-AL"/>
        </w:rPr>
        <w:t xml:space="preserve">" </w:t>
      </w:r>
      <w:r w:rsidRPr="00221487">
        <w:rPr>
          <w:rFonts w:ascii="Times New Roman" w:eastAsia="Times New Roman" w:hAnsi="Times New Roman" w:cs="Times New Roman"/>
          <w:b/>
          <w:noProof/>
          <w:lang w:val="sq-AL"/>
        </w:rPr>
        <w:t>nuk mund të matet</w:t>
      </w:r>
      <w:r w:rsidRPr="00221487">
        <w:rPr>
          <w:rFonts w:ascii="Times New Roman" w:eastAsia="Times New Roman" w:hAnsi="Times New Roman" w:cs="Times New Roman"/>
          <w:noProof/>
          <w:lang w:val="sq-AL"/>
        </w:rPr>
        <w:t>.</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Në nivel aktivitetesh, kjo Shtyllë përbëhet nga </w:t>
      </w:r>
      <w:r w:rsidRPr="00221487">
        <w:rPr>
          <w:rFonts w:ascii="Times New Roman" w:eastAsia="Times New Roman" w:hAnsi="Times New Roman" w:cs="Times New Roman"/>
          <w:b/>
          <w:noProof/>
          <w:lang w:val="sq-AL"/>
        </w:rPr>
        <w:t xml:space="preserve">15 masa, ku tre janë përfunduar </w:t>
      </w:r>
      <w:r w:rsidRPr="00221487">
        <w:rPr>
          <w:rFonts w:ascii="Times New Roman" w:eastAsia="Times New Roman" w:hAnsi="Times New Roman" w:cs="Times New Roman"/>
          <w:noProof/>
          <w:lang w:val="sq-AL"/>
        </w:rPr>
        <w:t>dhe 12 janë në proces (Grafiku 5).</w:t>
      </w: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Grafiku 5: Shtylla 2- Planifikim dhe buxhetim i shpenzimeve publike i mirë – integruar dhe efikas</w:t>
      </w:r>
    </w:p>
    <w:tbl>
      <w:tblPr>
        <w:tblW w:w="9038" w:type="dxa"/>
        <w:tblBorders>
          <w:top w:val="single" w:sz="4" w:space="0" w:color="auto"/>
          <w:bottom w:val="single" w:sz="4" w:space="0" w:color="auto"/>
        </w:tblBorders>
        <w:tblLayout w:type="fixed"/>
        <w:tblLook w:val="04A0" w:firstRow="1" w:lastRow="0" w:firstColumn="1" w:lastColumn="0" w:noHBand="0" w:noVBand="1"/>
      </w:tblPr>
      <w:tblGrid>
        <w:gridCol w:w="6062"/>
        <w:gridCol w:w="2976"/>
      </w:tblGrid>
      <w:tr w:rsidR="00221487" w:rsidRPr="00221487" w:rsidTr="004342D7">
        <w:trPr>
          <w:trHeight w:val="3518"/>
        </w:trPr>
        <w:tc>
          <w:tcPr>
            <w:tcW w:w="6062" w:type="dxa"/>
          </w:tcPr>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Statusi i aktiviteteve për vitin 2018</w:t>
            </w:r>
          </w:p>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New Roman" w:hAnsi="Times New Roman" w:cs="Times New Roman"/>
                <w:noProof/>
              </w:rPr>
              <w:drawing>
                <wp:inline distT="0" distB="0" distL="0" distR="0" wp14:anchorId="6B4F5B64" wp14:editId="5E71F234">
                  <wp:extent cx="3400425" cy="1838325"/>
                  <wp:effectExtent l="0" t="0" r="9525" b="952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c>
          <w:tcPr>
            <w:tcW w:w="2976" w:type="dxa"/>
          </w:tcPr>
          <w:p w:rsidR="00221487" w:rsidRPr="00221487" w:rsidRDefault="00221487" w:rsidP="00221487">
            <w:pPr>
              <w:spacing w:after="0" w:line="240" w:lineRule="auto"/>
              <w:jc w:val="both"/>
              <w:rPr>
                <w:rFonts w:ascii="Times New Roman" w:eastAsia="Times" w:hAnsi="Times New Roman" w:cs="Times New Roman"/>
                <w:noProof/>
                <w:lang w:val="sq-AL"/>
              </w:rPr>
            </w:pPr>
          </w:p>
          <w:p w:rsidR="00221487" w:rsidRPr="00221487" w:rsidRDefault="00221487" w:rsidP="00221487">
            <w:pPr>
              <w:spacing w:after="0" w:line="240" w:lineRule="auto"/>
              <w:jc w:val="both"/>
              <w:rPr>
                <w:rFonts w:ascii="Times New Roman" w:eastAsia="Times" w:hAnsi="Times New Roman" w:cs="Times New Roman"/>
                <w:noProof/>
                <w:lang w:val="sq-AL"/>
              </w:rPr>
            </w:pPr>
          </w:p>
          <w:p w:rsidR="00221487" w:rsidRPr="00221487" w:rsidRDefault="00221487" w:rsidP="00221487">
            <w:pPr>
              <w:spacing w:after="0" w:line="240" w:lineRule="auto"/>
              <w:jc w:val="both"/>
              <w:rPr>
                <w:rFonts w:ascii="Times New Roman" w:eastAsia="Times" w:hAnsi="Times New Roman" w:cs="Times New Roman"/>
                <w:noProof/>
                <w:lang w:val="sq-AL"/>
              </w:rPr>
            </w:pPr>
          </w:p>
          <w:p w:rsidR="00221487" w:rsidRPr="00221487" w:rsidRDefault="00221487" w:rsidP="00221487">
            <w:pPr>
              <w:spacing w:after="0" w:line="240" w:lineRule="auto"/>
              <w:jc w:val="both"/>
              <w:rPr>
                <w:rFonts w:ascii="Times New Roman" w:eastAsia="Times" w:hAnsi="Times New Roman" w:cs="Times New Roman"/>
                <w:noProof/>
                <w:lang w:val="sq-AL"/>
              </w:rPr>
            </w:pPr>
          </w:p>
          <w:tbl>
            <w:tblPr>
              <w:tblW w:w="2302" w:type="dxa"/>
              <w:tblLayout w:type="fixed"/>
              <w:tblLook w:val="04A0" w:firstRow="1" w:lastRow="0" w:firstColumn="1" w:lastColumn="0" w:noHBand="0" w:noVBand="1"/>
            </w:tblPr>
            <w:tblGrid>
              <w:gridCol w:w="1769"/>
              <w:gridCol w:w="533"/>
            </w:tblGrid>
            <w:tr w:rsidR="00221487" w:rsidRPr="00221487" w:rsidTr="004342D7">
              <w:trPr>
                <w:trHeight w:val="315"/>
              </w:trPr>
              <w:tc>
                <w:tcPr>
                  <w:tcW w:w="2302" w:type="dxa"/>
                  <w:gridSpan w:val="2"/>
                  <w:tcBorders>
                    <w:top w:val="nil"/>
                    <w:left w:val="nil"/>
                    <w:bottom w:val="single" w:sz="8" w:space="0" w:color="auto"/>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lang w:val="sq-AL" w:eastAsia="sq-AL"/>
                    </w:rPr>
                  </w:pPr>
                  <w:r w:rsidRPr="00221487">
                    <w:rPr>
                      <w:rFonts w:ascii="Times New Roman" w:eastAsia="Times New Roman" w:hAnsi="Times New Roman" w:cs="Times New Roman"/>
                      <w:noProof/>
                      <w:lang w:val="sq-AL" w:eastAsia="sq-AL"/>
                    </w:rPr>
                    <w:t>Nr i aktiviteteve</w:t>
                  </w:r>
                </w:p>
              </w:tc>
            </w:tr>
            <w:tr w:rsidR="00221487" w:rsidRPr="00221487" w:rsidTr="004342D7">
              <w:trPr>
                <w:trHeight w:val="300"/>
              </w:trPr>
              <w:tc>
                <w:tcPr>
                  <w:tcW w:w="1769" w:type="dxa"/>
                  <w:tcBorders>
                    <w:top w:val="nil"/>
                    <w:left w:val="nil"/>
                    <w:bottom w:val="nil"/>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lang w:val="sq-AL" w:eastAsia="sq-AL"/>
                    </w:rPr>
                  </w:pPr>
                  <w:r w:rsidRPr="00221487">
                    <w:rPr>
                      <w:rFonts w:ascii="Times New Roman" w:eastAsia="Times New Roman" w:hAnsi="Times New Roman" w:cs="Times New Roman"/>
                      <w:noProof/>
                      <w:lang w:val="sq-AL" w:eastAsia="sq-AL"/>
                    </w:rPr>
                    <w:t>Përfunduar</w:t>
                  </w:r>
                </w:p>
              </w:tc>
              <w:tc>
                <w:tcPr>
                  <w:tcW w:w="533" w:type="dxa"/>
                  <w:tcBorders>
                    <w:top w:val="nil"/>
                    <w:left w:val="nil"/>
                    <w:bottom w:val="nil"/>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lang w:val="sq-AL" w:eastAsia="sq-AL"/>
                    </w:rPr>
                  </w:pPr>
                  <w:r w:rsidRPr="00221487">
                    <w:rPr>
                      <w:rFonts w:ascii="Times New Roman" w:eastAsia="Times New Roman" w:hAnsi="Times New Roman" w:cs="Times New Roman"/>
                      <w:noProof/>
                      <w:lang w:val="sq-AL" w:eastAsia="sq-AL"/>
                    </w:rPr>
                    <w:t>3</w:t>
                  </w:r>
                </w:p>
              </w:tc>
            </w:tr>
            <w:tr w:rsidR="00221487" w:rsidRPr="00221487" w:rsidTr="004342D7">
              <w:trPr>
                <w:trHeight w:val="300"/>
              </w:trPr>
              <w:tc>
                <w:tcPr>
                  <w:tcW w:w="1769" w:type="dxa"/>
                  <w:tcBorders>
                    <w:top w:val="nil"/>
                    <w:left w:val="nil"/>
                    <w:bottom w:val="nil"/>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lang w:val="sq-AL" w:eastAsia="sq-AL"/>
                    </w:rPr>
                  </w:pPr>
                  <w:r w:rsidRPr="00221487">
                    <w:rPr>
                      <w:rFonts w:ascii="Times New Roman" w:eastAsia="Times New Roman" w:hAnsi="Times New Roman" w:cs="Times New Roman"/>
                      <w:noProof/>
                      <w:lang w:val="sq-AL" w:eastAsia="sq-AL"/>
                    </w:rPr>
                    <w:t>Në proces</w:t>
                  </w:r>
                </w:p>
              </w:tc>
              <w:tc>
                <w:tcPr>
                  <w:tcW w:w="533" w:type="dxa"/>
                  <w:tcBorders>
                    <w:top w:val="nil"/>
                    <w:left w:val="nil"/>
                    <w:bottom w:val="nil"/>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lang w:val="sq-AL" w:eastAsia="sq-AL"/>
                    </w:rPr>
                  </w:pPr>
                  <w:r w:rsidRPr="00221487">
                    <w:rPr>
                      <w:rFonts w:ascii="Times New Roman" w:eastAsia="Times New Roman" w:hAnsi="Times New Roman" w:cs="Times New Roman"/>
                      <w:noProof/>
                      <w:lang w:val="sq-AL" w:eastAsia="sq-AL"/>
                    </w:rPr>
                    <w:t>12</w:t>
                  </w:r>
                </w:p>
              </w:tc>
            </w:tr>
            <w:tr w:rsidR="00221487" w:rsidRPr="00221487" w:rsidTr="004342D7">
              <w:trPr>
                <w:trHeight w:val="315"/>
              </w:trPr>
              <w:tc>
                <w:tcPr>
                  <w:tcW w:w="1769" w:type="dxa"/>
                  <w:tcBorders>
                    <w:top w:val="nil"/>
                    <w:left w:val="nil"/>
                    <w:bottom w:val="single" w:sz="8" w:space="0" w:color="auto"/>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lang w:val="sq-AL" w:eastAsia="sq-AL"/>
                    </w:rPr>
                  </w:pPr>
                  <w:r w:rsidRPr="00221487">
                    <w:rPr>
                      <w:rFonts w:ascii="Times New Roman" w:eastAsia="Times New Roman" w:hAnsi="Times New Roman" w:cs="Times New Roman"/>
                      <w:noProof/>
                      <w:lang w:val="sq-AL" w:eastAsia="sq-AL"/>
                    </w:rPr>
                    <w:t>Nuk kanë filluar</w:t>
                  </w:r>
                </w:p>
              </w:tc>
              <w:tc>
                <w:tcPr>
                  <w:tcW w:w="533" w:type="dxa"/>
                  <w:tcBorders>
                    <w:top w:val="nil"/>
                    <w:left w:val="nil"/>
                    <w:bottom w:val="single" w:sz="8" w:space="0" w:color="auto"/>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lang w:val="sq-AL" w:eastAsia="sq-AL"/>
                    </w:rPr>
                  </w:pPr>
                  <w:r w:rsidRPr="00221487">
                    <w:rPr>
                      <w:rFonts w:ascii="Times New Roman" w:eastAsia="Times New Roman" w:hAnsi="Times New Roman" w:cs="Times New Roman"/>
                      <w:noProof/>
                      <w:lang w:val="sq-AL" w:eastAsia="sq-AL"/>
                    </w:rPr>
                    <w:t>0</w:t>
                  </w:r>
                </w:p>
              </w:tc>
            </w:tr>
            <w:tr w:rsidR="00221487" w:rsidRPr="00221487" w:rsidTr="004342D7">
              <w:trPr>
                <w:trHeight w:val="315"/>
              </w:trPr>
              <w:tc>
                <w:tcPr>
                  <w:tcW w:w="1769" w:type="dxa"/>
                  <w:tcBorders>
                    <w:top w:val="nil"/>
                    <w:left w:val="nil"/>
                    <w:bottom w:val="nil"/>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lang w:val="sq-AL" w:eastAsia="sq-AL"/>
                    </w:rPr>
                  </w:pPr>
                </w:p>
              </w:tc>
              <w:tc>
                <w:tcPr>
                  <w:tcW w:w="533" w:type="dxa"/>
                  <w:tcBorders>
                    <w:top w:val="nil"/>
                    <w:left w:val="nil"/>
                    <w:bottom w:val="nil"/>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lang w:val="sq-AL" w:eastAsia="sq-AL"/>
                    </w:rPr>
                  </w:pPr>
                  <w:r w:rsidRPr="00221487">
                    <w:rPr>
                      <w:rFonts w:ascii="Times New Roman" w:eastAsia="Times New Roman" w:hAnsi="Times New Roman" w:cs="Times New Roman"/>
                      <w:noProof/>
                      <w:lang w:val="sq-AL" w:eastAsia="sq-AL"/>
                    </w:rPr>
                    <w:t>15</w:t>
                  </w:r>
                </w:p>
              </w:tc>
            </w:tr>
          </w:tbl>
          <w:p w:rsidR="00221487" w:rsidRPr="00221487" w:rsidRDefault="00221487" w:rsidP="00221487">
            <w:pPr>
              <w:spacing w:after="0" w:line="240" w:lineRule="auto"/>
              <w:jc w:val="both"/>
              <w:rPr>
                <w:rFonts w:ascii="Times New Roman" w:eastAsia="Times" w:hAnsi="Times New Roman" w:cs="Times New Roman"/>
                <w:noProof/>
                <w:lang w:val="sq-AL"/>
              </w:rPr>
            </w:pPr>
          </w:p>
          <w:p w:rsidR="00221487" w:rsidRPr="00221487" w:rsidRDefault="00221487" w:rsidP="00221487">
            <w:pPr>
              <w:spacing w:after="0" w:line="240" w:lineRule="auto"/>
              <w:jc w:val="both"/>
              <w:rPr>
                <w:rFonts w:ascii="Times New Roman" w:eastAsia="Times" w:hAnsi="Times New Roman" w:cs="Times New Roman"/>
                <w:noProof/>
                <w:lang w:val="sq-AL"/>
              </w:rPr>
            </w:pPr>
          </w:p>
        </w:tc>
      </w:tr>
    </w:tbl>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b/>
          <w:noProof/>
          <w:lang w:val="sq-AL"/>
        </w:rPr>
        <w:t>Rezultate dhe sfida</w:t>
      </w:r>
      <w:r w:rsidRPr="00221487">
        <w:rPr>
          <w:rFonts w:ascii="Times New Roman" w:eastAsia="Times New Roman" w:hAnsi="Times New Roman" w:cs="Times New Roman"/>
          <w:noProof/>
          <w:lang w:val="sq-AL"/>
        </w:rPr>
        <w:t xml:space="preserve"> të dukshme për masat janë si vijon:</w:t>
      </w:r>
    </w:p>
    <w:p w:rsidR="00221487" w:rsidRPr="00221487" w:rsidRDefault="00221487" w:rsidP="00221487">
      <w:pPr>
        <w:spacing w:after="0" w:line="240" w:lineRule="auto"/>
        <w:jc w:val="both"/>
        <w:rPr>
          <w:rFonts w:ascii="Times New Roman" w:eastAsia="Times New Roman" w:hAnsi="Times New Roman" w:cs="Times New Roman"/>
          <w:noProof/>
          <w:highlight w:val="yellow"/>
          <w:lang w:val="sq-AL"/>
        </w:rPr>
      </w:pPr>
    </w:p>
    <w:p w:rsidR="00221487" w:rsidRPr="00221487" w:rsidRDefault="00221487" w:rsidP="00221487">
      <w:pPr>
        <w:spacing w:after="0" w:line="240" w:lineRule="auto"/>
        <w:jc w:val="both"/>
        <w:rPr>
          <w:rFonts w:ascii="Times New Roman" w:eastAsia="Times New Roman" w:hAnsi="Times New Roman" w:cs="Times New Roman"/>
          <w:i/>
          <w:noProof/>
          <w:lang w:val="sq-AL"/>
        </w:rPr>
      </w:pPr>
      <w:r w:rsidRPr="00221487">
        <w:rPr>
          <w:rFonts w:ascii="Times New Roman" w:eastAsia="Times New Roman" w:hAnsi="Times New Roman" w:cs="Times New Roman"/>
          <w:i/>
          <w:iCs/>
          <w:noProof/>
          <w:lang w:val="sq-AL"/>
        </w:rPr>
        <w:t xml:space="preserve">Zhvillimi i strategjive sektoriale të SKZHI-së si dhe PBA në bazë të një rruge të kujdesshme të rritjes për shpenzimet totale (statusi: në proces /vonuar): </w:t>
      </w:r>
      <w:r w:rsidRPr="00221487">
        <w:rPr>
          <w:rFonts w:ascii="Times New Roman" w:eastAsia="Times New Roman" w:hAnsi="Times New Roman" w:cs="Times New Roman"/>
          <w:noProof/>
          <w:lang w:val="sq-AL"/>
        </w:rPr>
        <w:t xml:space="preserve">Është miratuar Strategjia Kombëtare për Energjinë 2018 – 2030 </w:t>
      </w:r>
      <w:r w:rsidRPr="00221487">
        <w:rPr>
          <w:rFonts w:ascii="Times New Roman" w:eastAsia="Times New Roman" w:hAnsi="Times New Roman" w:cs="Times New Roman"/>
          <w:noProof/>
          <w:lang w:val="sq-AL"/>
        </w:rPr>
        <w:lastRenderedPageBreak/>
        <w:t xml:space="preserve">me VKM nr. </w:t>
      </w:r>
      <w:r w:rsidRPr="00221487">
        <w:rPr>
          <w:rFonts w:ascii="Times New Roman" w:eastAsia="Times New Roman" w:hAnsi="Times New Roman" w:cs="Times New Roman"/>
          <w:noProof/>
          <w:lang w:val="sq-AL" w:eastAsia="en-GB"/>
        </w:rPr>
        <w:t>480, datë 31.07.2018</w:t>
      </w:r>
      <w:r w:rsidRPr="00221487">
        <w:rPr>
          <w:rFonts w:ascii="Times New Roman" w:eastAsia="Times New Roman" w:hAnsi="Times New Roman" w:cs="Times New Roman"/>
          <w:noProof/>
          <w:lang w:val="sq-AL"/>
        </w:rPr>
        <w:t xml:space="preserve"> që e rrit numrin e dokumenteve të miratuar në 27 në krahasim me numrin e përgjithshëm prej 30 dokumentesh që janë pjesë e SKZHI II. Mekanizmi sektor i qasjes së gjerë </w:t>
      </w:r>
      <w:r w:rsidRPr="00221487">
        <w:rPr>
          <w:rFonts w:ascii="Times New Roman" w:eastAsia="Times New Roman" w:hAnsi="Times New Roman" w:cs="Times New Roman"/>
          <w:b/>
          <w:noProof/>
          <w:lang w:val="sq-AL"/>
        </w:rPr>
        <w:t>është rishikuar me Urdhrin e Kryeministrit nr. 157, datë 22.10.2018 "Për zbatimin e qasjes në të gjithë sektorin për (ndër) sektorët dhe krijimin e funksionimin e mekanizmit (ndër) sektorial</w:t>
      </w:r>
      <w:r w:rsidRPr="00221487">
        <w:rPr>
          <w:rFonts w:ascii="Times New Roman" w:eastAsia="Times New Roman" w:hAnsi="Times New Roman" w:cs="Times New Roman"/>
          <w:noProof/>
          <w:lang w:val="sq-AL"/>
        </w:rPr>
        <w:t>". Urdhri mundëson rregullimin dhe zbatimin e qasjes sektoriale në të gjithë sektorët (në krahasim me Urdhrin e 2015 të aplikuar në sektorët pilot) me qëllim menaxhimin dhe koordinimin e politikave sektoriale në përputhje me Sistemin e Integruar dhe të Planifikimit (SIP) dhe parimet e mirëqeverisjes  përmes menaxhimit sektorial dhe grupeve të koordinimit. Gjatë vitit 2018, janë përgatitur 12 raporte të monitorimit të strategjisë.</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i/>
          <w:noProof/>
          <w:lang w:val="sq-AL"/>
        </w:rPr>
        <w:t>Krijoni kapacitetin për të kryer rishikime të hollësishme të sektorit sipas nevojës (në proces/vonuar):</w:t>
      </w:r>
      <w:r w:rsidRPr="00221487">
        <w:rPr>
          <w:rFonts w:ascii="Times New Roman" w:eastAsia="Times New Roman" w:hAnsi="Times New Roman" w:cs="Times New Roman"/>
          <w:noProof/>
          <w:lang w:val="sq-AL"/>
        </w:rPr>
        <w:t xml:space="preserve"> Janë përgatitur disa paketa trajnimesh nga Shkolla Shqiptare e Administratës Publike (ASPA) në lidhje me hartimin dhe monitorimin e kuadrit strategjik. 152 nëpunës civilë janë trajnuar gjatë vitit 2018 në lidhje me funksionimin dhe zbatimin e Sistemit e Integruar të Planifikimit  (14 në kategorinë e nivelit të mesëm të drejtimit, 49 në kategorinë e nivelit të ulëttë drejtimit dhe 89 në nivelin ekzekutiv). Departamenti i Zhvillimit dhe Mirë-qeverisjes (DZHM) ka organizuar procesin për identifikimin e Vlerësimit të Nevojës për Njohuri për institucionet e qeverisë qendrore.</w:t>
      </w:r>
      <w:r w:rsidRPr="00221487">
        <w:rPr>
          <w:rFonts w:ascii="Times New Roman" w:eastAsia="Times New Roman" w:hAnsi="Times New Roman" w:cs="Times New Roman"/>
          <w:noProof/>
          <w:highlight w:val="yellow"/>
          <w:lang w:val="sq-AL"/>
        </w:rPr>
        <w:t xml:space="preserve"> </w:t>
      </w:r>
    </w:p>
    <w:p w:rsidR="00221487" w:rsidRPr="00221487" w:rsidRDefault="00221487" w:rsidP="00221487">
      <w:pPr>
        <w:spacing w:after="0" w:line="240" w:lineRule="auto"/>
        <w:jc w:val="both"/>
        <w:rPr>
          <w:rFonts w:ascii="Times New Roman" w:eastAsia="Times New Roman" w:hAnsi="Times New Roman" w:cs="Times New Roman"/>
          <w:i/>
          <w:iCs/>
          <w:noProof/>
          <w:lang w:val="sq-AL"/>
        </w:rPr>
      </w:pPr>
      <w:r w:rsidRPr="00221487">
        <w:rPr>
          <w:rFonts w:ascii="Times New Roman" w:eastAsia="Times New Roman" w:hAnsi="Times New Roman" w:cs="Times New Roman"/>
          <w:i/>
          <w:iCs/>
          <w:noProof/>
          <w:lang w:val="sq-AL"/>
        </w:rPr>
        <w:t xml:space="preserve"> </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i/>
          <w:iCs/>
          <w:noProof/>
          <w:lang w:val="sq-AL"/>
        </w:rPr>
        <w:t xml:space="preserve">"Ruajtja e një Liste të vetme Projektesh Strategjike të Miratuara" dhe sigurimi i shtrirjes në prioritetet e politikës strategjike që do të përmirësojnë evidentimin, përgatitjen dhe përzgjedhjen e projekteve të infrastrukturës" (statusi: në proces/sipas planit). </w:t>
      </w:r>
      <w:r w:rsidRPr="00221487">
        <w:rPr>
          <w:rFonts w:ascii="Times New Roman" w:eastAsia="Times New Roman" w:hAnsi="Times New Roman" w:cs="Times New Roman"/>
          <w:iCs/>
          <w:noProof/>
          <w:lang w:val="sq-AL"/>
        </w:rPr>
        <w:t xml:space="preserve">Në lidhje me konsolidimin e strukturës së Listës së Projekteve të MIratuara dhe  kapacitetet e forcuara të Sekretariatit të Komitetit Kombëtar të Investimeve dhe ministrive të linjës, gajtë vitit 2018 Njësia Kombëtare e Zhvillimit të Projekteve koordinoi të gjitha projektet e Strukturës së Përgatitjes së Projekteve (SPP) IPA 2015: - Përgatitje e TR për këtë asistencë (janar – mars 2018); </w:t>
      </w:r>
      <w:r w:rsidRPr="00221487">
        <w:rPr>
          <w:rFonts w:ascii="Times New Roman" w:eastAsia="Times New Roman" w:hAnsi="Times New Roman" w:cs="Times New Roman"/>
          <w:noProof/>
          <w:lang w:val="sq-AL"/>
        </w:rPr>
        <w:t>- Vlerësimi i parë i kompanive të cilat ishin pjesë e tenderit (shtator 2018); - Hapja e fazës së dytë të tenderit (dhjetor 2018).</w:t>
      </w: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highlight w:val="yellow"/>
          <w:lang w:val="sq-AL"/>
        </w:rPr>
      </w:pPr>
      <w:r w:rsidRPr="00221487">
        <w:rPr>
          <w:rFonts w:ascii="Times New Roman" w:eastAsia="Times New Roman" w:hAnsi="Times New Roman" w:cs="Times New Roman"/>
          <w:i/>
          <w:noProof/>
          <w:lang w:val="sq-AL"/>
        </w:rPr>
        <w:t xml:space="preserve">Forcimi i mbikëqyrjes së KSH-ve, të cilat kanë humbje, mbartin rreziqe të mëdha fiskale dhe kërkojnë mbështetje të drejtpërdrejtë ose të tërthortë të buxhetit. (Përfunduar): </w:t>
      </w:r>
      <w:r w:rsidRPr="00221487">
        <w:rPr>
          <w:rFonts w:ascii="Times New Roman" w:eastAsia="Times" w:hAnsi="Times New Roman" w:cs="Times New Roman"/>
          <w:noProof/>
          <w:lang w:val="sq-AL"/>
        </w:rPr>
        <w:t xml:space="preserve">NJRF  po monitoron çdo tremujor treguesit kryesorë financiarë të KSH-ve dhe përgatit një raport të konsoliduar për KSH-të, duke u përqendruar në risqet që vijnë nga sektori energjetik. Gjithashtu, në Pasqyrën Vjetore të Riskut doli një analizë e përmbledhur. </w:t>
      </w:r>
    </w:p>
    <w:p w:rsidR="00221487" w:rsidRPr="00221487" w:rsidRDefault="00221487" w:rsidP="00221487">
      <w:pPr>
        <w:spacing w:after="0" w:line="240" w:lineRule="auto"/>
        <w:jc w:val="both"/>
        <w:rPr>
          <w:rFonts w:ascii="Times New Roman" w:eastAsia="Times New Roman" w:hAnsi="Times New Roman" w:cs="Times New Roman"/>
          <w:noProof/>
          <w:highlight w:val="yellow"/>
          <w:lang w:val="sq-AL"/>
        </w:rPr>
      </w:pPr>
    </w:p>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New Roman" w:hAnsi="Times New Roman" w:cs="Times New Roman"/>
          <w:i/>
          <w:noProof/>
          <w:lang w:val="sq-AL"/>
        </w:rPr>
        <w:t xml:space="preserve">Zhvillimi i rutinave dhe mbështetja e TI-së për ndjekjen dhe monitorimin e projekteve të mëdha të investimeve. (Në proces/vonuar): </w:t>
      </w:r>
      <w:r w:rsidRPr="00221487">
        <w:rPr>
          <w:rFonts w:ascii="Times New Roman" w:eastAsia="Times" w:hAnsi="Times New Roman" w:cs="Times New Roman"/>
          <w:noProof/>
          <w:lang w:val="sq-AL"/>
        </w:rPr>
        <w:t xml:space="preserve">U krye testimi i zbatimit të kodit output në SFQ. Gjithashtu u bë dhe migrimi i të dhënave në </w:t>
      </w:r>
      <w:r w:rsidR="00300D60">
        <w:rPr>
          <w:rFonts w:ascii="Times New Roman" w:eastAsia="Times" w:hAnsi="Times New Roman" w:cs="Times New Roman"/>
          <w:noProof/>
          <w:lang w:val="sq-AL"/>
        </w:rPr>
        <w:t xml:space="preserve">modulin </w:t>
      </w:r>
      <w:r w:rsidRPr="00221487">
        <w:rPr>
          <w:rFonts w:ascii="Times New Roman" w:eastAsia="Times" w:hAnsi="Times New Roman" w:cs="Times New Roman"/>
          <w:noProof/>
          <w:lang w:val="sq-AL"/>
        </w:rPr>
        <w:t xml:space="preserve">PBA për PBA-në </w:t>
      </w:r>
      <w:r w:rsidR="00300D60">
        <w:rPr>
          <w:rFonts w:ascii="Times New Roman" w:eastAsia="Times" w:hAnsi="Times New Roman" w:cs="Times New Roman"/>
          <w:noProof/>
          <w:lang w:val="sq-AL"/>
        </w:rPr>
        <w:t xml:space="preserve">2019 – 2021 </w:t>
      </w:r>
      <w:r w:rsidRPr="00221487">
        <w:rPr>
          <w:rFonts w:ascii="Times New Roman" w:eastAsia="Times" w:hAnsi="Times New Roman" w:cs="Times New Roman"/>
          <w:noProof/>
          <w:lang w:val="sq-AL"/>
        </w:rPr>
        <w:t xml:space="preserve">në modulin e ri të PBA-së në SFQ. </w:t>
      </w:r>
    </w:p>
    <w:p w:rsidR="00221487" w:rsidRPr="00221487" w:rsidRDefault="00221487" w:rsidP="00221487">
      <w:pPr>
        <w:spacing w:after="0" w:line="240" w:lineRule="auto"/>
        <w:jc w:val="both"/>
        <w:rPr>
          <w:rFonts w:ascii="Times New Roman" w:eastAsia="Times"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i/>
          <w:noProof/>
          <w:lang w:val="sq-AL"/>
        </w:rPr>
        <w:t xml:space="preserve">Përgatisni dhe paraqisni në Parlament propozime për ndryshime në LOB me qëllim shtrëngimin e procesit të PBA (përfunduar): </w:t>
      </w:r>
      <w:r w:rsidRPr="00221487">
        <w:rPr>
          <w:rFonts w:ascii="Times New Roman" w:eastAsia="Times New Roman" w:hAnsi="Times New Roman" w:cs="Times New Roman"/>
          <w:noProof/>
          <w:lang w:val="sq-AL"/>
        </w:rPr>
        <w:t>Një udhëzim i ri për përgatitjen e buxhetit u miratua në shkurt 2018. Ky ka dëshmuar të jetë një vendim i mirë menaxhimi pasi ka prodhuar një përmirësim të menaxhueshëm në rritje me dallimin dhe identifikimin midis politikave ekzistuese dhe atyre të reja si dhe burimit përkatës të financimit. Udhëzimet për planifikimin e buxhetit u prodhuan dhe u prezantun, së bashku me trajnimin intensiv të MFE, ministritë e linjës dhe trainimin e ministrive të caktuara pilot.</w:t>
      </w: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i/>
          <w:noProof/>
          <w:lang w:val="sq-AL"/>
        </w:rPr>
        <w:t xml:space="preserve">Forconi mbikëqyrjen dhe funksionin e ruajtësit fiskal të MFE në lidhje me vlerësimet e projekteve (në proce /vonuar): </w:t>
      </w:r>
      <w:r w:rsidRPr="00221487">
        <w:rPr>
          <w:rFonts w:ascii="Times New Roman" w:eastAsia="Times New Roman" w:hAnsi="Times New Roman" w:cs="Times New Roman"/>
          <w:noProof/>
          <w:lang w:val="sq-AL"/>
        </w:rPr>
        <w:t>MFE rishikoi marrëveshjet dhe praktikat aktuale për vlerësime dhe ka përgatitur udhëzime dhe kritere që do të përdoren në vlerësimin teknik të projekteve të mëdha nga MFE (projektet PPP nuk përfshihen ). Vendimi "Për Procedurat e Menaxhimit të Investimeve Publike" u miratua nga Këshilli i Ministrave në Mars 2018. (VKM nr.185).</w:t>
      </w:r>
    </w:p>
    <w:p w:rsidR="00221487" w:rsidRPr="00221487" w:rsidRDefault="00221487" w:rsidP="00221487">
      <w:pPr>
        <w:spacing w:after="0" w:line="240" w:lineRule="auto"/>
        <w:jc w:val="both"/>
        <w:rPr>
          <w:rFonts w:ascii="Times New Roman" w:eastAsia="Times" w:hAnsi="Times New Roman" w:cs="Times New Roman"/>
          <w:i/>
          <w:noProof/>
          <w:lang w:val="sq-AL"/>
        </w:rPr>
      </w:pPr>
    </w:p>
    <w:p w:rsidR="00221487" w:rsidRPr="00221487" w:rsidRDefault="00221487" w:rsidP="00221487">
      <w:pPr>
        <w:spacing w:after="0" w:line="240" w:lineRule="auto"/>
        <w:jc w:val="both"/>
        <w:rPr>
          <w:rFonts w:ascii="Times New Roman" w:eastAsia="Times New Roman" w:hAnsi="Times New Roman" w:cs="Times New Roman"/>
          <w:i/>
          <w:noProof/>
          <w:lang w:val="sq-AL"/>
        </w:rPr>
      </w:pPr>
      <w:r w:rsidRPr="00221487">
        <w:rPr>
          <w:rFonts w:ascii="Times New Roman" w:eastAsia="Times New Roman" w:hAnsi="Times New Roman" w:cs="Times New Roman"/>
          <w:i/>
          <w:noProof/>
          <w:lang w:val="sq-AL"/>
        </w:rPr>
        <w:t xml:space="preserve">Caktimi i prioriteteve dhe përzgjedhja e projekteve të mëdha investuese bëhet në një mënyrë sistematike (në proces/vonuar): </w:t>
      </w:r>
      <w:r w:rsidRPr="00221487">
        <w:rPr>
          <w:rFonts w:ascii="Times New Roman" w:eastAsia="Times New Roman" w:hAnsi="Times New Roman" w:cs="Times New Roman"/>
          <w:noProof/>
          <w:lang w:val="sq-AL"/>
        </w:rPr>
        <w:t xml:space="preserve">Projektet strategjike, pjesë e </w:t>
      </w:r>
      <w:r w:rsidR="004342D7">
        <w:rPr>
          <w:rFonts w:ascii="Times New Roman" w:eastAsia="Times New Roman" w:hAnsi="Times New Roman" w:cs="Times New Roman"/>
          <w:noProof/>
          <w:lang w:val="sq-AL"/>
        </w:rPr>
        <w:t>LUPK</w:t>
      </w:r>
      <w:r w:rsidRPr="00221487">
        <w:rPr>
          <w:rFonts w:ascii="Times New Roman" w:eastAsia="Times New Roman" w:hAnsi="Times New Roman" w:cs="Times New Roman"/>
          <w:noProof/>
          <w:lang w:val="sq-AL"/>
        </w:rPr>
        <w:t xml:space="preserve"> bazuar në vendimin e KPS/KKI, hapësirës fiskale dhe përparësisë së tyre, futen çdo vit në ciklin e buxhetimit afatgjatë bazuar në procedurën e specifikuar në Vendimin e Këshillit të Ministrave nr.185. Në fund të vitit 2018, Sekretariati i Përgjithshëm i KKI në bashkëpunim me </w:t>
      </w:r>
      <w:r w:rsidRPr="00221487">
        <w:rPr>
          <w:rFonts w:ascii="Times New Roman" w:eastAsia="Times New Roman" w:hAnsi="Times New Roman" w:cs="Times New Roman"/>
          <w:noProof/>
          <w:lang w:val="sq-AL"/>
        </w:rPr>
        <w:lastRenderedPageBreak/>
        <w:t xml:space="preserve">ministritë e linjës, Grupin e Menaxhimit të Buxhetit, MFE dhe me </w:t>
      </w:r>
      <w:r w:rsidRPr="00B52EED">
        <w:rPr>
          <w:rFonts w:ascii="Times New Roman" w:eastAsia="Times New Roman" w:hAnsi="Times New Roman" w:cs="Times New Roman"/>
          <w:noProof/>
          <w:lang w:val="sq-AL"/>
        </w:rPr>
        <w:t xml:space="preserve">ndihmën e </w:t>
      </w:r>
      <w:r w:rsidR="00B52EED">
        <w:rPr>
          <w:rFonts w:ascii="Times New Roman" w:eastAsia="Times New Roman" w:hAnsi="Times New Roman" w:cs="Times New Roman"/>
          <w:noProof/>
          <w:lang w:val="sq-AL"/>
        </w:rPr>
        <w:t>IFICO/</w:t>
      </w:r>
      <w:r w:rsidRPr="00B52EED">
        <w:rPr>
          <w:rFonts w:ascii="Times New Roman" w:eastAsia="Times New Roman" w:hAnsi="Times New Roman" w:cs="Times New Roman"/>
          <w:noProof/>
          <w:lang w:val="sq-AL"/>
        </w:rPr>
        <w:t>FIBB</w:t>
      </w:r>
      <w:r w:rsidRPr="00221487">
        <w:rPr>
          <w:rFonts w:ascii="Times New Roman" w:eastAsia="Times New Roman" w:hAnsi="Times New Roman" w:cs="Times New Roman"/>
          <w:noProof/>
          <w:lang w:val="sq-AL"/>
        </w:rPr>
        <w:t xml:space="preserve"> ka finalizuar </w:t>
      </w:r>
      <w:r w:rsidR="004342D7">
        <w:rPr>
          <w:rFonts w:ascii="Times New Roman" w:eastAsia="Times New Roman" w:hAnsi="Times New Roman" w:cs="Times New Roman"/>
          <w:noProof/>
          <w:lang w:val="sq-AL"/>
        </w:rPr>
        <w:t>LUPK</w:t>
      </w:r>
      <w:r w:rsidRPr="00221487">
        <w:rPr>
          <w:rFonts w:ascii="Times New Roman" w:eastAsia="Times New Roman" w:hAnsi="Times New Roman" w:cs="Times New Roman"/>
          <w:noProof/>
          <w:lang w:val="sq-AL"/>
        </w:rPr>
        <w:t xml:space="preserve"> 2018</w:t>
      </w:r>
      <w:r w:rsidRPr="00221487">
        <w:rPr>
          <w:rFonts w:ascii="Times New Roman" w:eastAsia="Times New Roman" w:hAnsi="Times New Roman" w:cs="Times New Roman"/>
          <w:i/>
          <w:noProof/>
          <w:lang w:val="sq-AL"/>
        </w:rPr>
        <w:t>.</w:t>
      </w: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hAnsi="Times New Roman" w:cs="Times New Roman"/>
          <w:noProof/>
          <w:lang w:val="sq-AL"/>
        </w:rPr>
      </w:pPr>
      <w:r w:rsidRPr="00221487">
        <w:rPr>
          <w:rFonts w:ascii="Times New Roman" w:hAnsi="Times New Roman" w:cs="Times New Roman"/>
          <w:i/>
          <w:noProof/>
          <w:lang w:val="sq-AL"/>
        </w:rPr>
        <w:t>Forcimi i zbatimit të ligjit të financimit të qeverisjes vendore dhe praktikave të MFP (në proces/vonuar</w:t>
      </w:r>
      <w:r w:rsidRPr="00221487">
        <w:rPr>
          <w:rFonts w:ascii="Times New Roman" w:hAnsi="Times New Roman" w:cs="Times New Roman"/>
          <w:noProof/>
          <w:lang w:val="sq-AL"/>
        </w:rPr>
        <w:t>): janë miratuar dy udhëzime të reja për monitorimin e buxhetit të NJQV-ve dhe përgatitjen e Programit Buxhetor Afatmesëm, me qëllim që të sigurohet që procedurat dhe raportet të unifikohen për të gjitha NJQV-të në një periudhë afatmesme.</w:t>
      </w:r>
    </w:p>
    <w:p w:rsidR="00221487" w:rsidRPr="00221487" w:rsidRDefault="00221487" w:rsidP="00221487">
      <w:pPr>
        <w:spacing w:after="0" w:line="240" w:lineRule="auto"/>
        <w:jc w:val="both"/>
        <w:rPr>
          <w:rFonts w:ascii="Times New Roman" w:hAnsi="Times New Roman" w:cs="Times New Roman"/>
          <w:noProof/>
          <w:lang w:val="sq-AL"/>
        </w:rPr>
      </w:pPr>
    </w:p>
    <w:p w:rsidR="00221487" w:rsidRPr="00221487" w:rsidRDefault="00221487" w:rsidP="00221487">
      <w:pPr>
        <w:spacing w:after="0" w:line="240" w:lineRule="auto"/>
        <w:jc w:val="both"/>
        <w:rPr>
          <w:rFonts w:ascii="Times New Roman" w:hAnsi="Times New Roman" w:cs="Times New Roman"/>
          <w:noProof/>
          <w:lang w:val="sq-AL"/>
        </w:rPr>
      </w:pPr>
      <w:r w:rsidRPr="00221487">
        <w:rPr>
          <w:rFonts w:ascii="Times New Roman" w:hAnsi="Times New Roman" w:cs="Times New Roman"/>
          <w:i/>
          <w:noProof/>
          <w:lang w:val="sq-AL"/>
        </w:rPr>
        <w:t xml:space="preserve">Krijoni një bazë të dhënash të planifikimit financiar afatmesëm për qeveritsjen vendore (në proces/vonuar): </w:t>
      </w:r>
      <w:r w:rsidRPr="00221487">
        <w:rPr>
          <w:rFonts w:ascii="Times New Roman" w:hAnsi="Times New Roman" w:cs="Times New Roman"/>
          <w:noProof/>
          <w:lang w:val="sq-AL"/>
        </w:rPr>
        <w:t>MFE në bashkëpunim të ngushtë me Programin e Decentralizimit dhe Zhvillimit Lokal (PDZHL), në vitin 2018 ka përgatitur dhe miratuar Mjetin e ri të Planifikimit Financiar për përgatitjen e PBA-së për njësitë vendore dhe Manualin për Mjete e Planifikimit Financiar.</w:t>
      </w:r>
    </w:p>
    <w:p w:rsidR="00221487" w:rsidRPr="00221487" w:rsidRDefault="00221487" w:rsidP="00221487">
      <w:pPr>
        <w:spacing w:after="0" w:line="240" w:lineRule="auto"/>
        <w:jc w:val="both"/>
        <w:rPr>
          <w:rFonts w:ascii="Times New Roman" w:hAnsi="Times New Roman" w:cs="Times New Roman"/>
          <w:i/>
          <w:noProof/>
          <w:lang w:val="sq-AL"/>
        </w:rPr>
      </w:pPr>
    </w:p>
    <w:p w:rsidR="00221487" w:rsidRPr="00221487" w:rsidRDefault="00221487" w:rsidP="00221487">
      <w:pPr>
        <w:spacing w:after="0" w:line="240" w:lineRule="auto"/>
        <w:jc w:val="both"/>
        <w:rPr>
          <w:rFonts w:ascii="Times New Roman" w:eastAsia="Times New Roman" w:hAnsi="Times New Roman" w:cs="Times New Roman"/>
          <w:iCs/>
          <w:noProof/>
          <w:lang w:val="sq-AL"/>
        </w:rPr>
      </w:pPr>
      <w:r w:rsidRPr="00221487">
        <w:rPr>
          <w:rFonts w:ascii="Times New Roman" w:eastAsia="Times New Roman" w:hAnsi="Times New Roman" w:cs="Times New Roman"/>
          <w:i/>
          <w:iCs/>
          <w:noProof/>
          <w:lang w:val="sq-AL"/>
        </w:rPr>
        <w:t xml:space="preserve">Fshirja e pagesave të prapambetura të fshehura dhe parandalimi i krijimit të pagesave të reja të prapambeture (përfunduar): </w:t>
      </w:r>
      <w:r w:rsidRPr="00221487">
        <w:rPr>
          <w:rFonts w:ascii="Times New Roman" w:eastAsia="Times New Roman" w:hAnsi="Times New Roman" w:cs="Times New Roman"/>
          <w:iCs/>
          <w:noProof/>
          <w:lang w:val="sq-AL"/>
        </w:rPr>
        <w:t>Stoku i pagesave të prapambetura në fund të shtatorit 2018, bazuar në planin e ripagimit të dërguar nga të gjitha bashkitë në Ministrinë e Financave dhe Ekonomisë është rreth 7.1 miliardë lekë. Vlera neto e stokut të pagesave të prapambetura u ul me rreth 0.3 miliardë lekë në krahasim me shumën e pagesave të prapambetura të raportuara në tremujorin e dytë të 2018, dhe krahasuar me fundin e 2017 vlera neto e pagesave të prapambetura  u ul me rreth 2.1 miliardë lekë.</w:t>
      </w: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keepNext/>
        <w:numPr>
          <w:ilvl w:val="2"/>
          <w:numId w:val="0"/>
        </w:numPr>
        <w:spacing w:after="0" w:line="240" w:lineRule="auto"/>
        <w:ind w:left="720" w:hanging="720"/>
        <w:jc w:val="both"/>
        <w:outlineLvl w:val="2"/>
        <w:rPr>
          <w:rFonts w:ascii="Times New Roman" w:eastAsia="Times New Roman" w:hAnsi="Times New Roman" w:cs="Times New Roman"/>
          <w:noProof/>
          <w:lang w:val="sq-AL"/>
        </w:rPr>
      </w:pPr>
      <w:bookmarkStart w:id="38" w:name="_Toc3984175"/>
      <w:bookmarkStart w:id="39" w:name="_Toc3984464"/>
      <w:r w:rsidRPr="00221487">
        <w:rPr>
          <w:rFonts w:ascii="Times New Roman" w:eastAsia="Times New Roman" w:hAnsi="Times New Roman" w:cs="Times New Roman"/>
          <w:noProof/>
          <w:lang w:val="sq-AL"/>
        </w:rPr>
        <w:t xml:space="preserve">Zhvillimi dhe rishikimi i politikave strategjike </w:t>
      </w:r>
      <w:bookmarkEnd w:id="38"/>
      <w:bookmarkEnd w:id="39"/>
    </w:p>
    <w:p w:rsidR="00221487" w:rsidRPr="00221487" w:rsidRDefault="00221487" w:rsidP="00221487">
      <w:pPr>
        <w:spacing w:after="0" w:line="240" w:lineRule="auto"/>
        <w:jc w:val="both"/>
        <w:rPr>
          <w:rFonts w:ascii="Times New Roman" w:eastAsia="Times New Roman" w:hAnsi="Times New Roman" w:cs="Times New Roman"/>
          <w:noProof/>
          <w:lang w:val="sq-AL"/>
        </w:rPr>
      </w:pPr>
    </w:p>
    <w:tbl>
      <w:tblPr>
        <w:tblW w:w="9697" w:type="dxa"/>
        <w:tblInd w:w="108"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ook w:val="04A0" w:firstRow="1" w:lastRow="0" w:firstColumn="1" w:lastColumn="0" w:noHBand="0" w:noVBand="1"/>
      </w:tblPr>
      <w:tblGrid>
        <w:gridCol w:w="1890"/>
        <w:gridCol w:w="1890"/>
        <w:gridCol w:w="5917"/>
      </w:tblGrid>
      <w:tr w:rsidR="00221487" w:rsidRPr="005B32A4" w:rsidTr="004342D7">
        <w:tc>
          <w:tcPr>
            <w:tcW w:w="9697" w:type="dxa"/>
            <w:gridSpan w:val="3"/>
            <w:shd w:val="clear" w:color="auto" w:fill="D9D9D9" w:themeFill="background1" w:themeFillShade="D9"/>
          </w:tcPr>
          <w:p w:rsidR="00221487" w:rsidRPr="00221487" w:rsidRDefault="00221487" w:rsidP="00221487">
            <w:pPr>
              <w:spacing w:after="0" w:line="240" w:lineRule="auto"/>
              <w:jc w:val="both"/>
              <w:rPr>
                <w:rFonts w:ascii="Times New Roman" w:eastAsia="Times New Roman" w:hAnsi="Times New Roman" w:cs="Times New Roman"/>
                <w:i/>
                <w:noProof/>
                <w:lang w:val="sq-AL"/>
              </w:rPr>
            </w:pPr>
            <w:r w:rsidRPr="00221487">
              <w:rPr>
                <w:rFonts w:ascii="Times New Roman" w:eastAsia="Times New Roman" w:hAnsi="Times New Roman" w:cs="Times New Roman"/>
                <w:i/>
                <w:noProof/>
                <w:lang w:val="sq-AL"/>
              </w:rPr>
              <w:t>Objektivi 1</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Kuadri procedural i kujdesshëm dhe i rreptë për përgatitjen e PBA-së. Struktura e PBA-së që përfshin SKZHI-në, prioritetet strategjike të qeverisë dhe sektorit për periudhën afatmesme jep rezultatet e dëshiruara brenda burimeve të qëndrueshme financiare për tre vitet e ardhshme</w:t>
            </w:r>
          </w:p>
          <w:p w:rsidR="00221487" w:rsidRPr="00221487" w:rsidRDefault="00221487" w:rsidP="00221487">
            <w:pPr>
              <w:spacing w:after="0" w:line="240" w:lineRule="auto"/>
              <w:jc w:val="both"/>
              <w:rPr>
                <w:rFonts w:ascii="Times New Roman" w:eastAsia="Times New Roman" w:hAnsi="Times New Roman" w:cs="Times New Roman"/>
                <w:i/>
                <w:noProof/>
                <w:lang w:val="sq-AL"/>
              </w:rPr>
            </w:pPr>
            <w:r w:rsidRPr="00221487">
              <w:rPr>
                <w:rFonts w:ascii="Times New Roman" w:eastAsia="Times New Roman" w:hAnsi="Times New Roman" w:cs="Times New Roman"/>
                <w:i/>
                <w:noProof/>
                <w:lang w:val="sq-AL"/>
              </w:rPr>
              <w:t>Treguesi i rezultatit</w:t>
            </w:r>
          </w:p>
          <w:p w:rsidR="00221487" w:rsidRPr="00221487" w:rsidRDefault="00221487" w:rsidP="00221487">
            <w:pPr>
              <w:tabs>
                <w:tab w:val="left" w:pos="3480"/>
              </w:tabs>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Raporti midis totalit të fondeve të vlerësuara në strategjitë sektoriale dhe financimit total të identifikuar për sektorët korrespondues brenda PBA-së është 90%Indicator value</w:t>
            </w:r>
            <w:r w:rsidRPr="00221487">
              <w:rPr>
                <w:rFonts w:ascii="Times New Roman" w:eastAsia="Times New Roman" w:hAnsi="Times New Roman" w:cs="Times New Roman"/>
                <w:noProof/>
                <w:lang w:val="sq-AL"/>
              </w:rPr>
              <w:tab/>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Vlera e treguesit </w:t>
            </w:r>
            <w:r w:rsidRPr="00221487">
              <w:rPr>
                <w:rFonts w:ascii="Times New Roman" w:eastAsia="Times New Roman" w:hAnsi="Times New Roman" w:cs="Times New Roman"/>
                <w:b/>
                <w:noProof/>
                <w:lang w:val="sq-AL"/>
              </w:rPr>
              <w:t>nuk është e disponueshme</w:t>
            </w:r>
            <w:r w:rsidRPr="00221487">
              <w:rPr>
                <w:rFonts w:ascii="Times New Roman" w:eastAsia="Times New Roman" w:hAnsi="Times New Roman" w:cs="Times New Roman"/>
                <w:noProof/>
                <w:lang w:val="sq-AL"/>
              </w:rPr>
              <w:t xml:space="preserve">. Raporti i SIGMA-s nuk është botuar ende.  </w:t>
            </w:r>
          </w:p>
        </w:tc>
      </w:tr>
      <w:tr w:rsidR="00221487" w:rsidRPr="00221487" w:rsidTr="004342D7">
        <w:trPr>
          <w:trHeight w:val="261"/>
        </w:trPr>
        <w:tc>
          <w:tcPr>
            <w:tcW w:w="1890" w:type="dxa"/>
            <w:shd w:val="clear" w:color="auto" w:fill="D9D9D9" w:themeFill="background1" w:themeFillShade="D9"/>
          </w:tcPr>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Baza (2015)</w:t>
            </w:r>
            <w:r w:rsidRPr="00221487">
              <w:rPr>
                <w:rFonts w:ascii="Times New Roman" w:eastAsia="Times New Roman" w:hAnsi="Times New Roman" w:cs="Times New Roman"/>
                <w:b/>
                <w:noProof/>
                <w:vertAlign w:val="superscript"/>
                <w:lang w:val="sq-AL"/>
              </w:rPr>
              <w:footnoteReference w:id="10"/>
            </w:r>
          </w:p>
        </w:tc>
        <w:tc>
          <w:tcPr>
            <w:tcW w:w="1890" w:type="dxa"/>
            <w:shd w:val="clear" w:color="auto" w:fill="D9D9D9" w:themeFill="background1" w:themeFillShade="D9"/>
          </w:tcPr>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2018</w:t>
            </w:r>
          </w:p>
        </w:tc>
        <w:tc>
          <w:tcPr>
            <w:tcW w:w="5917" w:type="dxa"/>
            <w:shd w:val="clear" w:color="auto" w:fill="D9D9D9" w:themeFill="background1" w:themeFillShade="D9"/>
          </w:tcPr>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   Synimi për  2020                     </w:t>
            </w:r>
          </w:p>
        </w:tc>
      </w:tr>
      <w:tr w:rsidR="00221487" w:rsidRPr="00221487" w:rsidTr="004342D7">
        <w:trPr>
          <w:trHeight w:val="198"/>
        </w:trPr>
        <w:tc>
          <w:tcPr>
            <w:tcW w:w="1890" w:type="dxa"/>
            <w:shd w:val="clear" w:color="auto" w:fill="D9D9D9" w:themeFill="background1" w:themeFillShade="D9"/>
          </w:tcPr>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42%</w:t>
            </w:r>
          </w:p>
        </w:tc>
        <w:tc>
          <w:tcPr>
            <w:tcW w:w="1890" w:type="dxa"/>
            <w:shd w:val="clear" w:color="auto" w:fill="D9D9D9" w:themeFill="background1" w:themeFillShade="D9"/>
          </w:tcPr>
          <w:p w:rsidR="00221487" w:rsidRPr="00221487" w:rsidRDefault="00221487" w:rsidP="00221487">
            <w:pPr>
              <w:spacing w:after="0" w:line="240" w:lineRule="auto"/>
              <w:jc w:val="both"/>
              <w:rPr>
                <w:rFonts w:ascii="Times New Roman" w:eastAsia="Times New Roman" w:hAnsi="Times New Roman" w:cs="Times New Roman"/>
                <w:b/>
                <w:noProof/>
                <w:lang w:val="sq-AL"/>
              </w:rPr>
            </w:pPr>
            <w:r w:rsidRPr="00221487">
              <w:rPr>
                <w:rFonts w:ascii="Times New Roman" w:eastAsia="Times New Roman" w:hAnsi="Times New Roman" w:cs="Times New Roman"/>
                <w:noProof/>
                <w:lang w:val="sq-AL"/>
              </w:rPr>
              <w:t>ND</w:t>
            </w:r>
          </w:p>
        </w:tc>
        <w:tc>
          <w:tcPr>
            <w:tcW w:w="5917" w:type="dxa"/>
            <w:shd w:val="clear" w:color="auto" w:fill="D9D9D9" w:themeFill="background1" w:themeFillShade="D9"/>
          </w:tcPr>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Tendencë në rritje</w:t>
            </w:r>
          </w:p>
        </w:tc>
      </w:tr>
    </w:tbl>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b/>
          <w:noProof/>
          <w:lang w:val="sq-AL"/>
        </w:rPr>
      </w:pPr>
      <w:r w:rsidRPr="00221487">
        <w:rPr>
          <w:rFonts w:ascii="Times New Roman" w:eastAsia="Times New Roman" w:hAnsi="Times New Roman" w:cs="Times New Roman"/>
          <w:b/>
          <w:noProof/>
          <w:lang w:val="sq-AL"/>
        </w:rPr>
        <w:t xml:space="preserve">Masa 1: Zhvillimi i strategjive sektoriale të SKZHI-së si dhe PBA-së në bazë të një rruge të kujdesshme rritjeje për shpenzimet totale </w:t>
      </w:r>
      <w:r w:rsidRPr="00221487">
        <w:rPr>
          <w:rFonts w:ascii="Times New Roman" w:eastAsia="Times New Roman" w:hAnsi="Times New Roman" w:cs="Times New Roman"/>
          <w:b/>
          <w:i/>
          <w:noProof/>
          <w:lang w:val="sq-AL"/>
        </w:rPr>
        <w:t>(në proces/vonuar)</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Strategjia Kombëtare për Energjinë 2018 - 2030 është miratuar me VKM nr. 480, datë 31.07.2018, duke e rritur numrin e dokumenteve të miratuar në 27, përkundrejt numrit të përgjithshëm të 30 dokumenteve pjesë e SKZHI II. Dy dokumente janë drafte të avancuara dhe një është hartuar si dokument i brendshëm, por jo i konsoliduar. DZHM ka punuar intensivisht për të ofruar udhëzime dhe këshilla për përgatitjen e dokumenteve strategjikë në fushën e qeverisjes së mirë, si dhe për dërgimin e komenteve dhe rishikimeve për të përfunduar draftin e dokumentit siç kërkohet nga institucioni përgjegjës.</w:t>
      </w: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Qeveria shqiptare ka miratuar Mekanizmin e Qasjes për gjithë sektorin në vitin 2015 në mënyrë që të sigurojë koordinim, programim dhe monitorim në të gjithë sektorët. </w:t>
      </w:r>
      <w:r w:rsidRPr="00221487">
        <w:rPr>
          <w:rFonts w:ascii="Times New Roman" w:eastAsia="Times New Roman" w:hAnsi="Times New Roman" w:cs="Times New Roman"/>
          <w:b/>
          <w:noProof/>
          <w:lang w:val="sq-AL"/>
        </w:rPr>
        <w:t>Ky mekanizëm është rishikuar me Urdhrin e Kryeministrit nr. 157, datë 22.10.2018 "Për zbatimin e qasjes për gjithë sektorin për (ndër) sektorët dhe krijimin e funksionimin e mekanizmit të integruar (ndërkufitar) sektorial</w:t>
      </w:r>
      <w:r w:rsidRPr="00221487">
        <w:rPr>
          <w:rFonts w:ascii="Times New Roman" w:eastAsia="Times New Roman" w:hAnsi="Times New Roman" w:cs="Times New Roman"/>
          <w:noProof/>
          <w:lang w:val="sq-AL"/>
        </w:rPr>
        <w:t>". Urdhri mundëson rregullimin dhe zbatimin e qasjes sektoriale në të gjithë sektorët (në krahasim me Urdhrin e 2015 të zbatuar në sektorët pilotë) me qëllim menaxhimin dhe koordinimin e politikave sektoriale në përputhje me Sistemin e Integrimit dhe Planifikimit (SIP) dhe parimet e qeverisjes së mirë përmes menaxhimit sektorial dhe grupeve të koordinimit.</w:t>
      </w: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before="120" w:after="12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Mekanizmat sektorialë të koordinimit dhe menaxhimit të Grupeve të të Integruara të Menaxhimit të Politikave (GIMP) </w:t>
      </w:r>
      <w:r w:rsidRPr="00B52EED">
        <w:rPr>
          <w:rFonts w:ascii="Times New Roman" w:eastAsia="Times New Roman" w:hAnsi="Times New Roman" w:cs="Times New Roman"/>
          <w:noProof/>
          <w:lang w:val="sq-AL"/>
        </w:rPr>
        <w:t xml:space="preserve">dhe </w:t>
      </w:r>
      <w:r w:rsidR="00B52EED" w:rsidRPr="00B52EED">
        <w:rPr>
          <w:rFonts w:ascii="Times New Roman" w:eastAsia="Times New Roman" w:hAnsi="Times New Roman" w:cs="Times New Roman"/>
          <w:noProof/>
          <w:lang w:val="sq-AL"/>
        </w:rPr>
        <w:t>KSS</w:t>
      </w:r>
      <w:r w:rsidRPr="00B52EED">
        <w:rPr>
          <w:rFonts w:ascii="Times New Roman" w:eastAsia="Times New Roman" w:hAnsi="Times New Roman" w:cs="Times New Roman"/>
          <w:noProof/>
          <w:lang w:val="sq-AL"/>
        </w:rPr>
        <w:t xml:space="preserve"> do të</w:t>
      </w:r>
      <w:r w:rsidRPr="00221487">
        <w:rPr>
          <w:rFonts w:ascii="Times New Roman" w:eastAsia="Times New Roman" w:hAnsi="Times New Roman" w:cs="Times New Roman"/>
          <w:noProof/>
          <w:lang w:val="sq-AL"/>
        </w:rPr>
        <w:t xml:space="preserve"> ofrojnë një strukturë të nivelit të lartë të menaxhimit për: a) Sigurimin e koordinimit dhe vendimmarrjes politike dhe menaxheriale të nivelit të lartë për planifikimin dhe monitorimin e reformave sektoriale, politikave dhe kuadrove strategjikë; b) Të luajtur një rol mbështetës në koordinimin e planifikimit, programimit dhe monitorimit të ndihmës për zhvillim për sektorët e përfshirë, përmes organizimit të dialogut të rregullt me partnerët për zhvillim; c) Të luajut rolin e Komiteteve të Monitorimit të Sektorit IPA, duke siguruar monitorimin e sektorit IPA sipas sektorëve, në përputhje me nenin nr. 53 të marrëveshjes kuadër me BE-në dhe në përputhje me metodologjitë përkatëse; d) Sigurimin e mbështetjes në kuadrin e procesit të anëtarësimit në Bashkimin Evropian përmes mbështetjes për përmbushjen e angazhimeve në bazë të dokumenteve të politikave për integrimin evropian; e) Sigurimin e udhëzimeve për monitorimin e zbatimit përmes raportimit dhe monitorimit të masave në lidhje me proceset e integrimit evropian dhe politikave kombëtare në sektorët/nënsektorët e tyre përkatës, përfshirë raportet periodike të progresit, Programin Kombëtar të Reformës Ekonomike, etj.; f) Sigurimin e dialogut qeveritar mbi politikat e (ndër) sektorit me partnerët për zhvillim, pushtetin vendor, shoqërinë civile dhe sektorin privat, për të zbatuar masa brenda zonës dhe sektorëve përkatës, dhe promovimin dhe mbështetjen e iniciativave të koordinuara në këtë kontekst; dhe g) Drejtimin e përgatitjes së koordinuar të inputeve sektoriale përkatëse për Komitetin e Planifikimit Strategjik (KPS) dhe komitete të tjera me një funksion vendimmarrës.</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Mekanizmi i Grupeve të Menaxhimit Sektorial dhe të Koordinimit të Sektorit parashikon ngritjen e Sekretariatit të Përgjithshëm Teknik, të përbërë nga ZK, MFE, MEPJ. Ai do të koordinojë në nivel qendror ndër të tjera dhe bashkëveprimin e këtij mekanizmi me proceset e tjera që lidhen me planifikimin e politikave, buxhetimin dhe integrimin evropian, si dhe harmonizimin e proceseve të lidhura me zbatimin e sistemeve të menaxhimit të informacionit, për sistemin e planifikimit të integruar. Gjithashtu, në secilën </w:t>
      </w:r>
      <w:r w:rsidRPr="00B52EED">
        <w:rPr>
          <w:rFonts w:ascii="Times New Roman" w:eastAsia="Times New Roman" w:hAnsi="Times New Roman" w:cs="Times New Roman"/>
          <w:noProof/>
          <w:lang w:val="sq-AL"/>
        </w:rPr>
        <w:t xml:space="preserve">ministri të linjës do të ngrihet një grup pune teknik që do të sigurojë koordinimin teknik për drejtimin e GMPI, </w:t>
      </w:r>
      <w:r w:rsidR="00B52EED" w:rsidRPr="00B52EED">
        <w:rPr>
          <w:rFonts w:ascii="Times New Roman" w:eastAsia="Times New Roman" w:hAnsi="Times New Roman" w:cs="Times New Roman"/>
          <w:noProof/>
          <w:lang w:val="sq-AL"/>
        </w:rPr>
        <w:t>KSS</w:t>
      </w:r>
      <w:r w:rsidRPr="00B52EED">
        <w:rPr>
          <w:rFonts w:ascii="Times New Roman" w:eastAsia="Times New Roman" w:hAnsi="Times New Roman" w:cs="Times New Roman"/>
          <w:noProof/>
          <w:lang w:val="sq-AL"/>
        </w:rPr>
        <w:t xml:space="preserve"> dhe Grupet</w:t>
      </w:r>
      <w:r w:rsidRPr="00221487">
        <w:rPr>
          <w:rFonts w:ascii="Times New Roman" w:eastAsia="Times New Roman" w:hAnsi="Times New Roman" w:cs="Times New Roman"/>
          <w:noProof/>
          <w:lang w:val="sq-AL"/>
        </w:rPr>
        <w:t xml:space="preserve"> Tematike. </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b/>
          <w:noProof/>
          <w:lang w:val="sq-AL"/>
        </w:rPr>
        <w:t>Ky Mekanizëm i Menaxhimit të Sektorit të Integruar për Zbatimin e Qasjes në mbarë Sektorin do të përdorë Instrumentet e Menaxhimit të Politikave dhe Financave Publike, Procesin e Integrimit Evropian dhe Koordinimin e Ndihmës së Jashtme,</w:t>
      </w:r>
      <w:r w:rsidRPr="00221487">
        <w:rPr>
          <w:rFonts w:ascii="Times New Roman" w:eastAsia="Times New Roman" w:hAnsi="Times New Roman" w:cs="Times New Roman"/>
          <w:noProof/>
          <w:lang w:val="sq-AL"/>
        </w:rPr>
        <w:t xml:space="preserve"> të cilat janë krijuar brenda Planifikimit të Integruar (SPI) dhe sistemeve përkatëse të menaxhimit të informacionit nën SPI (SISPI, SIMFSH, SIMNH).</w:t>
      </w: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Brenda vitit 2018 janë organizuar dy takime të Sekretariatit të Përgjithshëm. Janë iniciuar edhe veprime juridike për krijimin e sekretarive teknike për secilin GMIP. Janë kryer tre seminarë me MFE në lidhje me mekanizmin e menaxhimit të integruar të sektorit dhe menaxhimin e financave publike.</w:t>
      </w: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b/>
          <w:noProof/>
          <w:lang w:val="sq-AL"/>
        </w:rPr>
      </w:pPr>
      <w:r w:rsidRPr="00221487">
        <w:rPr>
          <w:rFonts w:ascii="Times New Roman" w:eastAsia="Times New Roman" w:hAnsi="Times New Roman" w:cs="Times New Roman"/>
          <w:b/>
          <w:noProof/>
          <w:lang w:val="sq-AL"/>
        </w:rPr>
        <w:t xml:space="preserve">Masa 2: Paraqitja e analizës përshkallëzuese dhe përditësimeve gjithëpërfshirëse të SKZHI-së dhe strategjive të sektorin në procesin e  PBA-së </w:t>
      </w:r>
      <w:r w:rsidRPr="00221487">
        <w:rPr>
          <w:rFonts w:ascii="Times New Roman" w:eastAsia="Times New Roman" w:hAnsi="Times New Roman" w:cs="Times New Roman"/>
          <w:b/>
          <w:i/>
          <w:noProof/>
          <w:lang w:val="sq-AL"/>
        </w:rPr>
        <w:t>(në proces/vonuar)</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MFE-ja në bashkëpunim të ngushtë me Zyrën e Kryeministrit (ZK) dhe Ministrinë për Evropën dhe Punët e Jashtme, </w:t>
      </w:r>
      <w:r w:rsidRPr="00221487">
        <w:rPr>
          <w:rFonts w:ascii="Times New Roman" w:eastAsia="Times New Roman" w:hAnsi="Times New Roman" w:cs="Times New Roman"/>
          <w:b/>
          <w:noProof/>
          <w:lang w:val="sq-AL"/>
        </w:rPr>
        <w:t>organizuan disa dëgjesa publike gjatë muajve maj - qershor 2018, ku morën pjesë ML-të dhe institucione të tjera buxhetore.</w:t>
      </w:r>
      <w:r w:rsidRPr="00221487">
        <w:rPr>
          <w:rFonts w:ascii="Times New Roman" w:eastAsia="Times New Roman" w:hAnsi="Times New Roman" w:cs="Times New Roman"/>
          <w:noProof/>
          <w:lang w:val="sq-AL"/>
        </w:rPr>
        <w:t xml:space="preserve"> </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Objektivat ishin: garantimi i një kuadri procedural të qartë dhe të saktë për procesin përgatitor të PBA-së 2019 - 2021; marrja në konsideratë e </w:t>
      </w:r>
      <w:r w:rsidRPr="00300D60">
        <w:rPr>
          <w:rFonts w:ascii="Times New Roman" w:eastAsia="Times New Roman" w:hAnsi="Times New Roman" w:cs="Times New Roman"/>
          <w:noProof/>
          <w:lang w:val="sq-AL"/>
        </w:rPr>
        <w:t>kërkesave financiare siç përcaktohen në strategjitë e sektorit dhe parimet e mirëqeverisjes. Gjithashtu, si pjesë e seancave dëgjimore u përqendruaa në prezantimin e funksionalitteve</w:t>
      </w:r>
      <w:r w:rsidRPr="00221487">
        <w:rPr>
          <w:rFonts w:ascii="Times New Roman" w:eastAsia="Times New Roman" w:hAnsi="Times New Roman" w:cs="Times New Roman"/>
          <w:noProof/>
          <w:lang w:val="sq-AL"/>
        </w:rPr>
        <w:t xml:space="preserve"> të Sistemit SIIMSP nëpërmjet SIMF dhe përfitimeve në të ardhmen nga procesi i monitorimit në internet i dokumenteve strategjikë. Tre MAJ-të</w:t>
      </w:r>
      <w:r w:rsidRPr="00221487">
        <w:rPr>
          <w:rFonts w:ascii="Times New Roman" w:eastAsia="Times New Roman" w:hAnsi="Times New Roman" w:cs="Times New Roman"/>
          <w:noProof/>
          <w:vertAlign w:val="superscript"/>
          <w:lang w:val="sq-AL"/>
        </w:rPr>
        <w:footnoteReference w:id="11"/>
      </w:r>
      <w:r w:rsidRPr="00221487">
        <w:rPr>
          <w:rFonts w:ascii="Times New Roman" w:eastAsia="Times New Roman" w:hAnsi="Times New Roman" w:cs="Times New Roman"/>
          <w:noProof/>
          <w:lang w:val="sq-AL"/>
        </w:rPr>
        <w:t xml:space="preserve"> pritet të konsolidojnë SIP si proces gjatë viteve në vazhdim dhe të rrisin efektivitetin përsa i përket efiçencës së shpenzimeve publike (efiçenca operacionale) si dhe shpërndarjes së burimeve strategjike e të bazuar në poitika. Funksionimi i plotë i 3 sistemeve (SIIMSP &amp; SIMF &amp; SIMAJ) parashikohet të përmirësojë thelbësisht cilësinë e strategjive të përgatitura, si dhe efikasitetin përsa i përket përgatitjes, ndjekjes së zbatimit si dhe raportimit. Në afat më të gjatë, kjo  bn nmmmm.do të ndikojë në cilësinë e planifikimit strategjik në Shqipëri që përsëri vlerësohet çdo vit nga BE-ja/SIGMA. </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lastRenderedPageBreak/>
        <w:t xml:space="preserve">Gjatë vitit 2018 janë hartuar raporte monitorimi për 12 dokumente strategjikë (sipas listës së strategjive, pjesë e SKZHI). </w:t>
      </w:r>
    </w:p>
    <w:p w:rsidR="00221487" w:rsidRPr="00221487" w:rsidRDefault="00221487" w:rsidP="00221487">
      <w:pPr>
        <w:tabs>
          <w:tab w:val="left" w:pos="3330"/>
        </w:tabs>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ab/>
      </w:r>
    </w:p>
    <w:p w:rsidR="00221487" w:rsidRPr="00221487" w:rsidRDefault="00221487" w:rsidP="00221487">
      <w:pPr>
        <w:spacing w:after="0" w:line="240" w:lineRule="auto"/>
        <w:jc w:val="both"/>
        <w:rPr>
          <w:rFonts w:ascii="Times New Roman" w:eastAsia="Times New Roman" w:hAnsi="Times New Roman" w:cs="Times New Roman"/>
          <w:b/>
          <w:noProof/>
          <w:lang w:val="sq-AL"/>
        </w:rPr>
      </w:pPr>
      <w:r w:rsidRPr="00221487">
        <w:rPr>
          <w:rFonts w:ascii="Times New Roman" w:eastAsia="Times New Roman" w:hAnsi="Times New Roman" w:cs="Times New Roman"/>
          <w:b/>
          <w:noProof/>
          <w:lang w:val="sq-AL"/>
        </w:rPr>
        <w:t xml:space="preserve">Masa 3: Krijimi i kapaciteteve për kryerjen e analizave të thella sektoriale, sipas nevojës (në proces/vonuar) </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Në vijim të qëllimit (inter-alia) </w:t>
      </w:r>
      <w:r w:rsidRPr="00221487">
        <w:rPr>
          <w:rFonts w:ascii="Times New Roman" w:eastAsia="Times New Roman" w:hAnsi="Times New Roman" w:cs="Times New Roman"/>
          <w:i/>
          <w:noProof/>
          <w:lang w:val="sq-AL"/>
        </w:rPr>
        <w:t>për të krijuar kapacitete për kryerjen e rishikimeve të thella në sektor sipas nevojës</w:t>
      </w:r>
      <w:r w:rsidRPr="00221487">
        <w:rPr>
          <w:rFonts w:ascii="Times New Roman" w:eastAsia="Times New Roman" w:hAnsi="Times New Roman" w:cs="Times New Roman"/>
          <w:noProof/>
          <w:lang w:val="sq-AL"/>
        </w:rPr>
        <w:t xml:space="preserve">; ZK ka ngritur një strukturë të re (Drejtoria e Sistemit dhe Politikave të Mirëqeverisjes) për SIIMSP që ga dhjetori 2017, ndërkohë që Ministria e Financave ka ngritur një njësi të dedikuar për SIMF dhe menaxhimin e asistencës së huaj/SIMNJ me Vendim të KM të qershorit  2018. Gjithashtu, në një afat më të gjatë, përfituesit (MFE dhe ZK) po konsolidojnë njësitë që do të garantojnë mirëfunksionimin e sistemeve edhe pas përfundimit të projektit SPI II. </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Gjatë vitit 2018, ASPA ka përgatitur disa paketa trajnimesh në lidhje me hartimin dhe monitorimin e kuadrit strategjik. 152 nëpunës civilë janë trajnuar gjatë vitit 2018 në lidhje me funksionimin dhe zbatimin e Sistemit të Planifikimit të Integruar (14 në kategorinë e mesme të drejtimit, 49 në kategorinë e ulët të drejtimit, 89 në nivelin ekzekutiv). </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Në kuadër të programimit të ngritjes së kapaciteteve për vitin 2018, DZHM, në rolin e tij si Sekretariati Teknik i Grupit të Menaxhimit të Integruar të Politikave për Mirëqeverisje dhe Administratë Publike, ka organizuar procesin për evidentimin e Vlerësimit të Bazuar në Njohuri për institucionet e qeverisjes qendrore.</w:t>
      </w: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Në këtë drejtim, Lista e </w:t>
      </w:r>
      <w:r w:rsidR="004342D7">
        <w:rPr>
          <w:rFonts w:ascii="Times New Roman" w:eastAsia="Times New Roman" w:hAnsi="Times New Roman" w:cs="Times New Roman"/>
          <w:noProof/>
          <w:lang w:val="sq-AL"/>
        </w:rPr>
        <w:t xml:space="preserve">Unifikuar e </w:t>
      </w:r>
      <w:r w:rsidRPr="00221487">
        <w:rPr>
          <w:rFonts w:ascii="Times New Roman" w:eastAsia="Times New Roman" w:hAnsi="Times New Roman" w:cs="Times New Roman"/>
          <w:noProof/>
          <w:lang w:val="sq-AL"/>
        </w:rPr>
        <w:t>Projekteve Kombëtare (L</w:t>
      </w:r>
      <w:r w:rsidR="004342D7">
        <w:rPr>
          <w:rFonts w:ascii="Times New Roman" w:eastAsia="Times New Roman" w:hAnsi="Times New Roman" w:cs="Times New Roman"/>
          <w:noProof/>
          <w:lang w:val="sq-AL"/>
        </w:rPr>
        <w:t>UPK</w:t>
      </w:r>
      <w:r w:rsidRPr="00221487">
        <w:rPr>
          <w:rFonts w:ascii="Times New Roman" w:eastAsia="Times New Roman" w:hAnsi="Times New Roman" w:cs="Times New Roman"/>
          <w:noProof/>
          <w:lang w:val="sq-AL"/>
        </w:rPr>
        <w:t>) mbi Platformën e Zhvillimit të Kapacitetit të Mirëqeverisjes është hartuar në përputhje me udhëzimin metodologjik, duke përcaktuar fushat kryesore të prioriteteve dhe nevojat për caktim prioritetesh. Gjatë vitit 2018, DZHM u angazhua për të zhvilluar një platformë gjithëpërfshirëse të zhvillimit të kapaciteteve në mënyrë që të shndërrojë institucionet publike në institucione të përgjegjshme, efektive dhe efikase, në përputhje me parimet e mirëqeverisjes, për një performancë të qëndrueshme dhe të orientuar drejt shërbimit ndaj qytetarëve. Është ngritur një rrjet për koordinimin e procesit, gjithashtu janë hartuar disa formate dhe janë realizuar 12 seminarë praktikë me ministritë e linjës për të lehtësuar regjistrimin e të dhënave, procesin e përcaktimit të prioriteteve në përputhje me përparësitë strategjike, si dhe vlerësimin e trajnimit nga institucionet qeveritare. Gjatë vitit 2018 janë trajnuar rreth 100 nëpunës civilë nga të gjitha nivelet, në fushat me përparësi.</w:t>
      </w: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b/>
          <w:noProof/>
          <w:lang w:val="sq-AL"/>
        </w:rPr>
      </w:pPr>
    </w:p>
    <w:p w:rsidR="00221487" w:rsidRPr="00221487" w:rsidRDefault="00221487" w:rsidP="00221487">
      <w:pPr>
        <w:spacing w:after="0" w:line="240" w:lineRule="auto"/>
        <w:jc w:val="both"/>
        <w:rPr>
          <w:rFonts w:ascii="Times New Roman" w:eastAsia="Times New Roman" w:hAnsi="Times New Roman" w:cs="Times New Roman"/>
          <w:b/>
          <w:noProof/>
          <w:lang w:val="sq-AL"/>
        </w:rPr>
      </w:pPr>
      <w:r w:rsidRPr="00221487">
        <w:rPr>
          <w:rFonts w:ascii="Times New Roman" w:eastAsia="Times New Roman" w:hAnsi="Times New Roman" w:cs="Times New Roman"/>
          <w:b/>
          <w:noProof/>
          <w:lang w:val="sq-AL"/>
        </w:rPr>
        <w:t>Masa 4: Zbatimi i një “Liste projektesh kombëtare strategjike, të m</w:t>
      </w:r>
      <w:r w:rsidR="00F77001">
        <w:rPr>
          <w:rFonts w:ascii="Times New Roman" w:eastAsia="Times New Roman" w:hAnsi="Times New Roman" w:cs="Times New Roman"/>
          <w:b/>
          <w:noProof/>
          <w:lang w:val="sq-AL"/>
        </w:rPr>
        <w:t>aturuara</w:t>
      </w:r>
      <w:r w:rsidRPr="00221487">
        <w:rPr>
          <w:rFonts w:ascii="Times New Roman" w:eastAsia="Times New Roman" w:hAnsi="Times New Roman" w:cs="Times New Roman"/>
          <w:b/>
          <w:noProof/>
          <w:lang w:val="sq-AL"/>
        </w:rPr>
        <w:t xml:space="preserve">” dhe garantim i vijueshmërisë në lidhje me prioritetet e politikës së strategjisë që do të nxisë identifikimin, përgatitjen dhe përzgjedhjen e projekteve infrastrukturore </w:t>
      </w:r>
      <w:r w:rsidRPr="00221487">
        <w:rPr>
          <w:rFonts w:ascii="Times New Roman" w:eastAsia="Times New Roman" w:hAnsi="Times New Roman" w:cs="Times New Roman"/>
          <w:b/>
          <w:i/>
          <w:noProof/>
          <w:lang w:val="sq-AL"/>
        </w:rPr>
        <w:t>(në proces/sipas planit)</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Sa i përket konsolidimit të strukturës së Kanalizimit të një Projekti të Vetëm/Single Project Pipeline dhe forcimit të kapaciteteve të Sekretariatit të Përgjithshëm për Komitetin Kombëtar të Investimeve dhe ministrive të linjës, gjatë vitit 2018 Njësia Kombëtare e Zhvillimit të Projekteve koordinoi të gjithë procesin e Strukturës së Përgatitjes së Projektit (SPP) IPA 2015:</w:t>
      </w:r>
    </w:p>
    <w:p w:rsidR="00221487" w:rsidRPr="00221487" w:rsidRDefault="00221487" w:rsidP="00221487">
      <w:pPr>
        <w:spacing w:after="0" w:line="240" w:lineRule="auto"/>
        <w:ind w:firstLine="72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Përgatitja e TR (janar - maj 2018).</w:t>
      </w:r>
    </w:p>
    <w:p w:rsidR="00221487" w:rsidRPr="00221487" w:rsidRDefault="00221487" w:rsidP="00221487">
      <w:pPr>
        <w:spacing w:after="0" w:line="240" w:lineRule="auto"/>
        <w:ind w:firstLine="72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Vlerësimi i parë i kompanive që ishin pjesë e tenderit (</w:t>
      </w:r>
      <w:r w:rsidR="00F77001">
        <w:rPr>
          <w:rFonts w:ascii="Times New Roman" w:eastAsia="Times New Roman" w:hAnsi="Times New Roman" w:cs="Times New Roman"/>
          <w:noProof/>
          <w:lang w:val="sq-AL"/>
        </w:rPr>
        <w:t>s</w:t>
      </w:r>
      <w:r w:rsidRPr="00221487">
        <w:rPr>
          <w:rFonts w:ascii="Times New Roman" w:eastAsia="Times New Roman" w:hAnsi="Times New Roman" w:cs="Times New Roman"/>
          <w:noProof/>
          <w:lang w:val="sq-AL"/>
        </w:rPr>
        <w:t>htator 2018)</w:t>
      </w:r>
    </w:p>
    <w:p w:rsidR="00221487" w:rsidRPr="00221487" w:rsidRDefault="00221487" w:rsidP="00221487">
      <w:pPr>
        <w:spacing w:after="0" w:line="240" w:lineRule="auto"/>
        <w:ind w:firstLine="72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Hapja e fazës së dytë të tenderit (dhjetor 2018)</w:t>
      </w: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Kontrata pritet të përfundohet/nënshkruhet brenda tremujorit të parë të vitit 2019. Rezultatet kryesore të TAT(PPF-IPA 2015) do të jenë:</w:t>
      </w:r>
    </w:p>
    <w:p w:rsidR="00221487" w:rsidRPr="00221487" w:rsidRDefault="00221487" w:rsidP="00221487">
      <w:pPr>
        <w:spacing w:after="0" w:line="240" w:lineRule="auto"/>
        <w:ind w:left="72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 Një metodologji standarde për krijimin/përditësimin/mirëmbajtjen e Lista e </w:t>
      </w:r>
      <w:r w:rsidR="004342D7">
        <w:rPr>
          <w:rFonts w:ascii="Times New Roman" w:eastAsia="Times New Roman" w:hAnsi="Times New Roman" w:cs="Times New Roman"/>
          <w:noProof/>
          <w:lang w:val="sq-AL"/>
        </w:rPr>
        <w:t xml:space="preserve">Unifikuar e </w:t>
      </w:r>
      <w:r w:rsidRPr="00221487">
        <w:rPr>
          <w:rFonts w:ascii="Times New Roman" w:eastAsia="Times New Roman" w:hAnsi="Times New Roman" w:cs="Times New Roman"/>
          <w:noProof/>
          <w:lang w:val="sq-AL"/>
        </w:rPr>
        <w:t>Projekteve Kombëtare bazuar në praktikat më të mira dhe në shqyrtimin e plotë të drejtimeve të projekteve me përparësi për sektorin, hapësirën fiskale në dispozicion dhe parashikimet e buxhetit</w:t>
      </w:r>
    </w:p>
    <w:p w:rsidR="00221487" w:rsidRPr="00221487" w:rsidRDefault="00221487" w:rsidP="00221487">
      <w:pPr>
        <w:spacing w:after="0" w:line="240" w:lineRule="auto"/>
        <w:ind w:left="72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 Mbështetje në formën e këshillave, zhvillimit të mjeteve dhe trajnim/udhëheqje për personelin në forcimin e koordinimit për të siguruar një koherencë dhe sinergji më të mirë ndërmjet institucioneve kryesore të përfshira në përditësim dhe menaxhim të Strukturës së Listës së </w:t>
      </w:r>
      <w:r w:rsidR="004342D7">
        <w:rPr>
          <w:rFonts w:ascii="Times New Roman" w:eastAsia="Times New Roman" w:hAnsi="Times New Roman" w:cs="Times New Roman"/>
          <w:noProof/>
          <w:lang w:val="sq-AL"/>
        </w:rPr>
        <w:t xml:space="preserve">Unifikuar të </w:t>
      </w:r>
      <w:r w:rsidRPr="00221487">
        <w:rPr>
          <w:rFonts w:ascii="Times New Roman" w:eastAsia="Times New Roman" w:hAnsi="Times New Roman" w:cs="Times New Roman"/>
          <w:noProof/>
          <w:lang w:val="sq-AL"/>
        </w:rPr>
        <w:t xml:space="preserve">Projekteve </w:t>
      </w:r>
      <w:r w:rsidRPr="00221487">
        <w:rPr>
          <w:rFonts w:ascii="Times New Roman" w:eastAsia="Times New Roman" w:hAnsi="Times New Roman" w:cs="Times New Roman"/>
          <w:noProof/>
          <w:lang w:val="sq-AL"/>
        </w:rPr>
        <w:lastRenderedPageBreak/>
        <w:t>Kombëtare (në fakt, Sekretariati KKI, Ministria e Financave dhe Ekonomisë dhe ministritë e tjera të linjës për sektorët përkatës).</w:t>
      </w:r>
    </w:p>
    <w:p w:rsidR="00221487" w:rsidRPr="00221487" w:rsidRDefault="00221487" w:rsidP="00221487">
      <w:pPr>
        <w:spacing w:after="0" w:line="240" w:lineRule="auto"/>
        <w:ind w:left="72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Një udhëzues manual përdorimi për aplikimin e metodologjisë standarde të konsoliduar për caktimin e prioritieteve të projekteve kombëtare të investimeve</w:t>
      </w:r>
    </w:p>
    <w:p w:rsidR="00221487" w:rsidRPr="00221487" w:rsidRDefault="00221487" w:rsidP="00221487">
      <w:pPr>
        <w:spacing w:after="0" w:line="240" w:lineRule="auto"/>
        <w:ind w:left="72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Asistencë, trajnim/udhëheqje e personelit në përdorimin dhe sigurimin e mjeteve analitike dhe planifikuese për identifikimin, caktimin e prioriteteve dhe përgatitjen e projekteve të infrastrukturës në sektorët përkatës</w:t>
      </w:r>
    </w:p>
    <w:p w:rsidR="00221487" w:rsidRPr="00221487" w:rsidRDefault="00221487" w:rsidP="00221487">
      <w:pPr>
        <w:spacing w:after="0" w:line="240" w:lineRule="auto"/>
        <w:ind w:left="72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Metodologjia për të zhvilluar studime të fizibilitetit të projekteve të infrastrukturës, Analiza e përfitimit të kostos, Vlerësimet e ndikimit në mjedis dhe atij social, Mjetet e caktimit të prioriteteve të projekteve siç janë Analiza në bazë Shumë Kriteresh, teknikat e vlerësimit të nevojave, mjetet e monitorimit dhe praktikat e tjera.</w:t>
      </w:r>
    </w:p>
    <w:p w:rsidR="00221487" w:rsidRPr="00221487" w:rsidRDefault="00221487" w:rsidP="00221487">
      <w:pPr>
        <w:spacing w:after="0" w:line="240" w:lineRule="auto"/>
        <w:ind w:left="72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Mbështetje në formën e këshillave, udhëheqjes dhe trainimit të punës pranë ministrive të linjës për të mirëmbajtur, përditësuar dhe menaxhuar Listën e Projekteve me përparësi sektoriale dhe portofolin përkatës të projekteve të investimeve</w:t>
      </w:r>
    </w:p>
    <w:p w:rsidR="00221487" w:rsidRPr="00221487" w:rsidRDefault="00221487" w:rsidP="00221487">
      <w:pPr>
        <w:spacing w:after="0" w:line="240" w:lineRule="auto"/>
        <w:ind w:left="72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Ofrimi i asistencës teknike për ministritë e linjës, institucionet rajonale dhe vendore për të përmirësuar procesin e identifikimit, përgatitjes dhe përzgjedhjes së projekteve të infrastrukturës, veçanërisht në transport, energjetikë, ujë, mjedis, strehim, kujdes shëndetësor, arsim, turizëm dhe sektorin urban e zhvillimin rajonal, por edhe në sektorë të tjerë.</w:t>
      </w:r>
    </w:p>
    <w:p w:rsidR="00221487" w:rsidRPr="00221487" w:rsidRDefault="00221487" w:rsidP="00221487">
      <w:pPr>
        <w:spacing w:after="0" w:line="240" w:lineRule="auto"/>
        <w:ind w:left="72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Përpunimi dhe shpërndarja e raporteve të rregullta që lidhen me menaxhimin e portofolit sektorial të projekteve të investimeve.</w:t>
      </w:r>
    </w:p>
    <w:p w:rsidR="00221487" w:rsidRPr="00221487" w:rsidRDefault="00221487" w:rsidP="00221487">
      <w:pPr>
        <w:spacing w:after="0" w:line="240" w:lineRule="auto"/>
        <w:ind w:left="720"/>
        <w:jc w:val="both"/>
        <w:rPr>
          <w:rFonts w:ascii="Times New Roman" w:eastAsia="Times New Roman" w:hAnsi="Times New Roman" w:cs="Times New Roman"/>
          <w:noProof/>
          <w:lang w:val="sq-AL"/>
        </w:rPr>
      </w:pPr>
    </w:p>
    <w:p w:rsidR="00221487" w:rsidRPr="00221487" w:rsidRDefault="00221487" w:rsidP="00221487">
      <w:pPr>
        <w:keepNext/>
        <w:numPr>
          <w:ilvl w:val="2"/>
          <w:numId w:val="0"/>
        </w:numPr>
        <w:spacing w:after="0" w:line="240" w:lineRule="auto"/>
        <w:ind w:left="720" w:hanging="720"/>
        <w:jc w:val="both"/>
        <w:outlineLvl w:val="2"/>
        <w:rPr>
          <w:rFonts w:ascii="Times New Roman" w:eastAsia="Times New Roman" w:hAnsi="Times New Roman" w:cs="Times New Roman"/>
          <w:noProof/>
          <w:lang w:val="sq-AL"/>
        </w:rPr>
      </w:pPr>
      <w:bookmarkStart w:id="40" w:name="_Toc3984176"/>
      <w:bookmarkStart w:id="41" w:name="_Toc3984465"/>
      <w:r w:rsidRPr="00221487">
        <w:rPr>
          <w:rFonts w:ascii="Times New Roman" w:eastAsia="Times" w:hAnsi="Times New Roman" w:cs="Times New Roman"/>
          <w:noProof/>
          <w:lang w:val="sq-AL"/>
        </w:rPr>
        <w:t xml:space="preserve">Planifikimi , vlerësimi dhe përfshirja në buxhet e investimit kapital </w:t>
      </w:r>
      <w:bookmarkEnd w:id="40"/>
      <w:bookmarkEnd w:id="41"/>
    </w:p>
    <w:p w:rsidR="00221487" w:rsidRPr="00221487" w:rsidRDefault="00221487" w:rsidP="00221487">
      <w:pPr>
        <w:spacing w:after="0" w:line="240" w:lineRule="auto"/>
        <w:jc w:val="both"/>
        <w:rPr>
          <w:rFonts w:ascii="Times New Roman" w:eastAsia="Times" w:hAnsi="Times New Roman" w:cs="Times New Roman"/>
          <w:noProof/>
          <w:highlight w:val="yellow"/>
          <w:lang w:val="sq-AL"/>
        </w:rPr>
      </w:pPr>
    </w:p>
    <w:tbl>
      <w:tblPr>
        <w:tblW w:w="0" w:type="auto"/>
        <w:tblInd w:w="265"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ook w:val="04A0" w:firstRow="1" w:lastRow="0" w:firstColumn="1" w:lastColumn="0" w:noHBand="0" w:noVBand="1"/>
      </w:tblPr>
      <w:tblGrid>
        <w:gridCol w:w="1733"/>
        <w:gridCol w:w="2442"/>
        <w:gridCol w:w="5208"/>
      </w:tblGrid>
      <w:tr w:rsidR="00221487" w:rsidRPr="00221487" w:rsidTr="004342D7">
        <w:trPr>
          <w:trHeight w:val="3905"/>
        </w:trPr>
        <w:tc>
          <w:tcPr>
            <w:tcW w:w="9383" w:type="dxa"/>
            <w:gridSpan w:val="3"/>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i/>
                <w:noProof/>
                <w:color w:val="000000" w:themeColor="text1"/>
                <w:lang w:val="sq-AL"/>
              </w:rPr>
            </w:pPr>
            <w:r w:rsidRPr="00221487">
              <w:rPr>
                <w:rFonts w:ascii="Times New Roman" w:eastAsia="Times" w:hAnsi="Times New Roman" w:cs="Times New Roman"/>
                <w:i/>
                <w:noProof/>
                <w:color w:val="000000" w:themeColor="text1"/>
                <w:lang w:val="sq-AL"/>
              </w:rPr>
              <w:t>Objektivi 2</w:t>
            </w:r>
          </w:p>
          <w:p w:rsidR="00221487" w:rsidRPr="00221487" w:rsidRDefault="00221487" w:rsidP="00221487">
            <w:pPr>
              <w:spacing w:after="0" w:line="240" w:lineRule="auto"/>
              <w:jc w:val="both"/>
              <w:rPr>
                <w:rFonts w:ascii="Times New Roman" w:eastAsia="Times" w:hAnsi="Times New Roman" w:cs="Times New Roman"/>
                <w:noProof/>
                <w:color w:val="000000" w:themeColor="text1"/>
                <w:lang w:val="sq-AL"/>
              </w:rPr>
            </w:pPr>
            <w:r w:rsidRPr="00221487">
              <w:rPr>
                <w:rFonts w:ascii="Times New Roman" w:eastAsia="Times" w:hAnsi="Times New Roman" w:cs="Times New Roman"/>
                <w:noProof/>
                <w:color w:val="000000" w:themeColor="text1"/>
                <w:lang w:val="sq-AL"/>
              </w:rPr>
              <w:t xml:space="preserve">Është ngritur një proces i qëndrueshëm për të vlerësuar teknikisht dhe financiarisht të gjitha propozimet për projektet e mëdha të investimeve publike, përpara se ato të merren në konsideratë për përfshirje në buxhet nga Komisioni i Buxhetit të Kabinetit. Të gjitha shpenzimet e investimeve publike monitorohen rregullisht dhe raportohen si pjesë e procesit të planifikimit dhe buxhetimit. </w:t>
            </w:r>
          </w:p>
          <w:p w:rsidR="00221487" w:rsidRPr="00221487" w:rsidRDefault="00221487" w:rsidP="00221487">
            <w:pPr>
              <w:spacing w:after="0" w:line="240" w:lineRule="auto"/>
              <w:jc w:val="both"/>
              <w:rPr>
                <w:rFonts w:ascii="Times New Roman" w:eastAsia="Times" w:hAnsi="Times New Roman" w:cs="Times New Roman"/>
                <w:i/>
                <w:noProof/>
                <w:color w:val="000000" w:themeColor="text1"/>
                <w:lang w:val="sq-AL"/>
              </w:rPr>
            </w:pPr>
            <w:r w:rsidRPr="00221487">
              <w:rPr>
                <w:rFonts w:ascii="Times New Roman" w:eastAsia="Times" w:hAnsi="Times New Roman" w:cs="Times New Roman"/>
                <w:i/>
                <w:noProof/>
                <w:color w:val="000000" w:themeColor="text1"/>
                <w:lang w:val="sq-AL"/>
              </w:rPr>
              <w:t>Treguesi i rezultatit 1</w:t>
            </w:r>
          </w:p>
          <w:p w:rsidR="00221487" w:rsidRPr="00221487" w:rsidRDefault="00221487" w:rsidP="00221487">
            <w:pPr>
              <w:spacing w:after="0" w:line="240" w:lineRule="auto"/>
              <w:jc w:val="both"/>
              <w:rPr>
                <w:rFonts w:ascii="Times New Roman" w:eastAsia="Times" w:hAnsi="Times New Roman" w:cs="Times New Roman"/>
                <w:noProof/>
                <w:color w:val="000000" w:themeColor="text1"/>
                <w:lang w:val="sq-AL"/>
              </w:rPr>
            </w:pPr>
            <w:r w:rsidRPr="00221487">
              <w:rPr>
                <w:rFonts w:ascii="Times New Roman" w:eastAsia="Times" w:hAnsi="Times New Roman" w:cs="Times New Roman"/>
                <w:noProof/>
                <w:color w:val="000000" w:themeColor="text1"/>
                <w:lang w:val="sq-AL"/>
              </w:rPr>
              <w:t xml:space="preserve">Ndarja e projekteve të investimit publik propozohet bazuar në prioritetet strategjike të qeverisë </w:t>
            </w:r>
          </w:p>
          <w:p w:rsidR="00221487" w:rsidRPr="00221487" w:rsidRDefault="00221487" w:rsidP="00221487">
            <w:pPr>
              <w:spacing w:after="0" w:line="240" w:lineRule="auto"/>
              <w:jc w:val="both"/>
              <w:rPr>
                <w:rFonts w:ascii="Times New Roman" w:eastAsia="Times" w:hAnsi="Times New Roman" w:cs="Times New Roman"/>
                <w:i/>
                <w:noProof/>
                <w:color w:val="000000" w:themeColor="text1"/>
                <w:lang w:val="sq-AL"/>
              </w:rPr>
            </w:pPr>
            <w:r w:rsidRPr="00221487">
              <w:rPr>
                <w:rFonts w:ascii="Times New Roman" w:eastAsia="Times" w:hAnsi="Times New Roman" w:cs="Times New Roman"/>
                <w:i/>
                <w:noProof/>
                <w:color w:val="000000" w:themeColor="text1"/>
                <w:lang w:val="sq-AL"/>
              </w:rPr>
              <w:t xml:space="preserve">Vlera e treguesit </w:t>
            </w:r>
          </w:p>
          <w:p w:rsidR="00221487" w:rsidRPr="00221487" w:rsidRDefault="00221487" w:rsidP="00221487">
            <w:pPr>
              <w:spacing w:after="0" w:line="240" w:lineRule="auto"/>
              <w:jc w:val="both"/>
              <w:rPr>
                <w:rFonts w:ascii="Times New Roman" w:eastAsia="Times" w:hAnsi="Times New Roman" w:cs="Times New Roman"/>
                <w:noProof/>
                <w:color w:val="000000" w:themeColor="text1"/>
                <w:lang w:val="sq-AL"/>
              </w:rPr>
            </w:pPr>
            <w:r w:rsidRPr="00221487">
              <w:rPr>
                <w:rFonts w:ascii="Times New Roman" w:eastAsia="Times New Roman" w:hAnsi="Times New Roman" w:cs="Times New Roman"/>
                <w:b/>
                <w:noProof/>
                <w:color w:val="000000" w:themeColor="text1"/>
                <w:lang w:val="sq-AL"/>
              </w:rPr>
              <w:t>I</w:t>
            </w:r>
            <w:r w:rsidRPr="00221487">
              <w:rPr>
                <w:rFonts w:ascii="Times New Roman" w:eastAsia="Times New Roman" w:hAnsi="Times New Roman" w:cs="Times New Roman"/>
                <w:b/>
                <w:noProof/>
                <w:color w:val="000000" w:themeColor="text1"/>
                <w:vertAlign w:val="subscript"/>
                <w:lang w:val="sq-AL"/>
              </w:rPr>
              <w:t>SPP</w:t>
            </w:r>
            <w:r w:rsidRPr="00221487">
              <w:rPr>
                <w:rFonts w:ascii="Times New Roman" w:eastAsia="Times New Roman" w:hAnsi="Times New Roman" w:cs="Times New Roman"/>
                <w:noProof/>
                <w:color w:val="000000" w:themeColor="text1"/>
                <w:lang w:val="sq-AL"/>
              </w:rPr>
              <w:t xml:space="preserve"> matet si një raport i projekteve të përfshirë në PBA që pasqyrojnë prioritetet strategjike (ISPP) të qeverisë, të paraqitur në SKZHI-në, strategjitë sektoriale dhe ndërsektoriale me totalin e projekteve të investimit të përfshirë në PBA. Për të llogaritur këtë tregues do të vlerësohen 9 programe kyçe të PBA-së </w:t>
            </w:r>
            <w:r w:rsidRPr="00221487">
              <w:rPr>
                <w:rFonts w:ascii="Times New Roman" w:eastAsia="Times New Roman" w:hAnsi="Times New Roman" w:cs="Times New Roman"/>
                <w:noProof/>
                <w:color w:val="000000" w:themeColor="text1"/>
                <w:vertAlign w:val="superscript"/>
                <w:lang w:val="sq-AL"/>
              </w:rPr>
              <w:footnoteReference w:id="12"/>
            </w:r>
            <w:r w:rsidRPr="00221487">
              <w:rPr>
                <w:rFonts w:ascii="Times New Roman" w:eastAsia="Times New Roman" w:hAnsi="Times New Roman" w:cs="Times New Roman"/>
                <w:noProof/>
                <w:color w:val="000000" w:themeColor="text1"/>
                <w:lang w:val="sq-AL"/>
              </w:rPr>
              <w:t>.</w:t>
            </w:r>
          </w:p>
          <w:p w:rsidR="00221487" w:rsidRPr="00221487" w:rsidRDefault="00221487" w:rsidP="00221487">
            <w:pPr>
              <w:spacing w:after="0" w:line="240" w:lineRule="auto"/>
              <w:jc w:val="both"/>
              <w:rPr>
                <w:rFonts w:ascii="Times New Roman" w:eastAsia="Times New Roman" w:hAnsi="Times New Roman" w:cs="Times New Roman"/>
                <w:noProof/>
                <w:color w:val="000000" w:themeColor="text1"/>
                <w:lang w:val="sq-AL"/>
              </w:rPr>
            </w:pPr>
            <w:r w:rsidRPr="00221487">
              <w:rPr>
                <w:rFonts w:ascii="Times New Roman" w:eastAsia="Times" w:hAnsi="Times New Roman" w:cs="Times New Roman"/>
                <w:b/>
                <w:noProof/>
                <w:color w:val="000000" w:themeColor="text1"/>
                <w:lang w:val="sq-AL"/>
              </w:rPr>
              <w:t>V</w:t>
            </w:r>
            <w:r w:rsidRPr="00221487">
              <w:rPr>
                <w:rFonts w:ascii="Times New Roman" w:eastAsia="Times New Roman" w:hAnsi="Times New Roman" w:cs="Times New Roman"/>
                <w:b/>
                <w:noProof/>
                <w:color w:val="000000" w:themeColor="text1"/>
                <w:vertAlign w:val="subscript"/>
                <w:lang w:val="sq-AL"/>
              </w:rPr>
              <w:t>SPP</w:t>
            </w:r>
            <w:r w:rsidRPr="00221487">
              <w:rPr>
                <w:rFonts w:ascii="Times New Roman" w:eastAsia="Times New Roman" w:hAnsi="Times New Roman" w:cs="Times New Roman"/>
                <w:noProof/>
                <w:color w:val="000000" w:themeColor="text1"/>
                <w:lang w:val="sq-AL"/>
              </w:rPr>
              <w:t xml:space="preserve"> është raporti midis shumave totale të projekteve të bazuara në prioritetet strategjike me totalin e buxhetit të investimeve kapitale. </w:t>
            </w:r>
          </w:p>
          <w:p w:rsidR="00221487" w:rsidRPr="00221487" w:rsidRDefault="00221487" w:rsidP="00221487">
            <w:pPr>
              <w:spacing w:after="0" w:line="240" w:lineRule="auto"/>
              <w:jc w:val="both"/>
              <w:rPr>
                <w:rFonts w:ascii="Times New Roman" w:eastAsia="Times" w:hAnsi="Times New Roman" w:cs="Times New Roman"/>
                <w:b/>
                <w:noProof/>
                <w:color w:val="000000" w:themeColor="text1"/>
                <w:lang w:val="sq-AL"/>
              </w:rPr>
            </w:pPr>
            <w:r w:rsidRPr="00221487">
              <w:rPr>
                <w:rFonts w:ascii="Times New Roman" w:eastAsia="Times" w:hAnsi="Times New Roman" w:cs="Times New Roman"/>
                <w:noProof/>
                <w:color w:val="000000" w:themeColor="text1"/>
                <w:lang w:val="sq-AL"/>
              </w:rPr>
              <w:t>Verat e tregusit për vitin 2018</w:t>
            </w:r>
            <w:r w:rsidRPr="00221487">
              <w:rPr>
                <w:rFonts w:ascii="Times New Roman" w:eastAsia="Times" w:hAnsi="Times New Roman" w:cs="Times New Roman"/>
                <w:b/>
                <w:noProof/>
                <w:color w:val="000000" w:themeColor="text1"/>
                <w:lang w:val="sq-AL"/>
              </w:rPr>
              <w:t xml:space="preserve"> u arritën </w:t>
            </w:r>
            <w:r w:rsidRPr="00221487">
              <w:rPr>
                <w:rFonts w:ascii="Times New Roman" w:eastAsia="Times" w:hAnsi="Times New Roman" w:cs="Times New Roman"/>
                <w:noProof/>
                <w:color w:val="000000" w:themeColor="text1"/>
                <w:lang w:val="sq-AL"/>
              </w:rPr>
              <w:t>pasi treguesi u rrit në krahasim me vitin 2017.</w:t>
            </w:r>
          </w:p>
        </w:tc>
      </w:tr>
      <w:tr w:rsidR="00221487" w:rsidRPr="00221487" w:rsidTr="004342D7">
        <w:trPr>
          <w:trHeight w:val="360"/>
        </w:trPr>
        <w:tc>
          <w:tcPr>
            <w:tcW w:w="1733" w:type="dxa"/>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color w:val="000000" w:themeColor="text1"/>
                <w:lang w:val="sq-AL"/>
              </w:rPr>
            </w:pPr>
            <w:r w:rsidRPr="00221487">
              <w:rPr>
                <w:rFonts w:ascii="Times New Roman" w:eastAsia="Times" w:hAnsi="Times New Roman" w:cs="Times New Roman"/>
                <w:noProof/>
                <w:color w:val="000000" w:themeColor="text1"/>
                <w:lang w:val="sq-AL"/>
              </w:rPr>
              <w:t>Baza</w:t>
            </w:r>
          </w:p>
        </w:tc>
        <w:tc>
          <w:tcPr>
            <w:tcW w:w="2442" w:type="dxa"/>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color w:val="000000" w:themeColor="text1"/>
                <w:lang w:val="sq-AL"/>
              </w:rPr>
            </w:pPr>
            <w:r w:rsidRPr="00221487">
              <w:rPr>
                <w:rFonts w:ascii="Times New Roman" w:eastAsia="Times" w:hAnsi="Times New Roman" w:cs="Times New Roman"/>
                <w:noProof/>
                <w:color w:val="000000" w:themeColor="text1"/>
                <w:lang w:val="sq-AL"/>
              </w:rPr>
              <w:t>2018</w:t>
            </w:r>
          </w:p>
        </w:tc>
        <w:tc>
          <w:tcPr>
            <w:tcW w:w="5208" w:type="dxa"/>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color w:val="000000" w:themeColor="text1"/>
                <w:lang w:val="sq-AL"/>
              </w:rPr>
            </w:pPr>
            <w:r w:rsidRPr="00221487">
              <w:rPr>
                <w:rFonts w:ascii="Times New Roman" w:eastAsia="Times" w:hAnsi="Times New Roman" w:cs="Times New Roman"/>
                <w:noProof/>
                <w:color w:val="000000" w:themeColor="text1"/>
                <w:lang w:val="sq-AL"/>
              </w:rPr>
              <w:t>Synimi për 2020</w:t>
            </w:r>
          </w:p>
        </w:tc>
      </w:tr>
      <w:tr w:rsidR="00221487" w:rsidRPr="00221487" w:rsidTr="004342D7">
        <w:trPr>
          <w:trHeight w:val="198"/>
        </w:trPr>
        <w:tc>
          <w:tcPr>
            <w:tcW w:w="1733" w:type="dxa"/>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New Roman" w:hAnsi="Times New Roman" w:cs="Times New Roman"/>
                <w:noProof/>
                <w:lang w:val="sq-AL"/>
              </w:rPr>
              <w:t>I</w:t>
            </w:r>
            <w:r w:rsidRPr="00221487">
              <w:rPr>
                <w:rFonts w:ascii="Times New Roman" w:eastAsia="Times New Roman" w:hAnsi="Times New Roman" w:cs="Times New Roman"/>
                <w:noProof/>
                <w:vertAlign w:val="subscript"/>
                <w:lang w:val="sq-AL"/>
              </w:rPr>
              <w:t>SPP</w:t>
            </w:r>
            <w:r w:rsidRPr="00221487">
              <w:rPr>
                <w:rFonts w:ascii="Times New Roman" w:eastAsia="Times" w:hAnsi="Times New Roman" w:cs="Times New Roman"/>
                <w:noProof/>
                <w:lang w:val="sq-AL"/>
              </w:rPr>
              <w:t xml:space="preserve"> 55%</w:t>
            </w:r>
          </w:p>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V</w:t>
            </w:r>
            <w:r w:rsidRPr="00221487">
              <w:rPr>
                <w:rFonts w:ascii="Times New Roman" w:eastAsia="Times New Roman" w:hAnsi="Times New Roman" w:cs="Times New Roman"/>
                <w:noProof/>
                <w:vertAlign w:val="subscript"/>
                <w:lang w:val="sq-AL"/>
              </w:rPr>
              <w:t>SPP</w:t>
            </w:r>
            <w:r w:rsidRPr="00221487">
              <w:rPr>
                <w:rFonts w:ascii="Times New Roman" w:eastAsia="Times" w:hAnsi="Times New Roman" w:cs="Times New Roman"/>
                <w:noProof/>
                <w:lang w:val="sq-AL"/>
              </w:rPr>
              <w:t xml:space="preserve">  68%</w:t>
            </w:r>
          </w:p>
        </w:tc>
        <w:tc>
          <w:tcPr>
            <w:tcW w:w="2442" w:type="dxa"/>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I</w:t>
            </w:r>
            <w:r w:rsidRPr="00221487">
              <w:rPr>
                <w:rFonts w:ascii="Times New Roman" w:eastAsia="Times" w:hAnsi="Times New Roman" w:cs="Times New Roman"/>
                <w:noProof/>
                <w:vertAlign w:val="subscript"/>
                <w:lang w:val="sq-AL"/>
              </w:rPr>
              <w:t>SPP</w:t>
            </w:r>
            <w:r w:rsidRPr="00221487">
              <w:rPr>
                <w:rFonts w:ascii="Times New Roman" w:eastAsia="Times" w:hAnsi="Times New Roman" w:cs="Times New Roman"/>
                <w:noProof/>
                <w:lang w:val="sq-AL"/>
              </w:rPr>
              <w:t xml:space="preserve"> = 64%</w:t>
            </w:r>
          </w:p>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V</w:t>
            </w:r>
            <w:r w:rsidRPr="00221487">
              <w:rPr>
                <w:rFonts w:ascii="Times New Roman" w:eastAsia="Times" w:hAnsi="Times New Roman" w:cs="Times New Roman"/>
                <w:noProof/>
                <w:vertAlign w:val="subscript"/>
                <w:lang w:val="sq-AL"/>
              </w:rPr>
              <w:t>SPP</w:t>
            </w:r>
            <w:r w:rsidRPr="00221487">
              <w:rPr>
                <w:rFonts w:ascii="Times New Roman" w:eastAsia="Times" w:hAnsi="Times New Roman" w:cs="Times New Roman"/>
                <w:noProof/>
                <w:lang w:val="sq-AL"/>
              </w:rPr>
              <w:t xml:space="preserve"> =80%</w:t>
            </w:r>
          </w:p>
        </w:tc>
        <w:tc>
          <w:tcPr>
            <w:tcW w:w="5208" w:type="dxa"/>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New Roman" w:hAnsi="Times New Roman" w:cs="Times New Roman"/>
                <w:noProof/>
                <w:lang w:val="sq-AL"/>
              </w:rPr>
              <w:t>Tendencë në rritje</w:t>
            </w:r>
          </w:p>
        </w:tc>
      </w:tr>
      <w:tr w:rsidR="00221487" w:rsidRPr="005B32A4" w:rsidTr="004342D7">
        <w:trPr>
          <w:trHeight w:val="2367"/>
        </w:trPr>
        <w:tc>
          <w:tcPr>
            <w:tcW w:w="9383" w:type="dxa"/>
            <w:gridSpan w:val="3"/>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i/>
                <w:noProof/>
                <w:lang w:val="sq-AL"/>
              </w:rPr>
            </w:pPr>
            <w:r w:rsidRPr="00221487">
              <w:rPr>
                <w:rFonts w:ascii="Times New Roman" w:eastAsia="Times" w:hAnsi="Times New Roman" w:cs="Times New Roman"/>
                <w:i/>
                <w:noProof/>
                <w:lang w:val="sq-AL"/>
              </w:rPr>
              <w:lastRenderedPageBreak/>
              <w:t>Treguesi i rezultatit 2</w:t>
            </w:r>
          </w:p>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Disbursimet aktuale për projektet kryesore të investimeve në krahasim me disbursimet e planifikuara së bashku me shpjegimin e ndryshimeve</w:t>
            </w:r>
          </w:p>
          <w:p w:rsidR="00221487" w:rsidRPr="00221487" w:rsidRDefault="00221487" w:rsidP="00221487">
            <w:pPr>
              <w:spacing w:after="0" w:line="240" w:lineRule="auto"/>
              <w:jc w:val="both"/>
              <w:rPr>
                <w:rFonts w:ascii="Times New Roman" w:eastAsia="Times" w:hAnsi="Times New Roman" w:cs="Times New Roman"/>
                <w:i/>
                <w:noProof/>
                <w:lang w:val="sq-AL"/>
              </w:rPr>
            </w:pPr>
            <w:r w:rsidRPr="00221487">
              <w:rPr>
                <w:rFonts w:ascii="Times New Roman" w:eastAsia="Times" w:hAnsi="Times New Roman" w:cs="Times New Roman"/>
                <w:i/>
                <w:noProof/>
                <w:lang w:val="sq-AL"/>
              </w:rPr>
              <w:t>Vlera e treguesit</w:t>
            </w:r>
          </w:p>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Raporti mat performancën e projekteve të investimeve publike dhe matet si raport i totalit të disbursimeve vjetore për projekte investimi mbi 700 milion lekë përkundrejt shumës totale të buxhetit të shpërndarë në një vit të caktuar për zbatimin e projekteve përkatëse.</w:t>
            </w:r>
          </w:p>
          <w:p w:rsidR="00221487" w:rsidRPr="00221487" w:rsidRDefault="00221487" w:rsidP="00221487">
            <w:pPr>
              <w:spacing w:after="0" w:line="240" w:lineRule="auto"/>
              <w:jc w:val="both"/>
              <w:rPr>
                <w:rFonts w:ascii="Times New Roman" w:eastAsia="Times" w:hAnsi="Times New Roman" w:cs="Times New Roman"/>
                <w:b/>
                <w:noProof/>
                <w:lang w:val="sq-AL"/>
              </w:rPr>
            </w:pPr>
            <w:r w:rsidRPr="00221487">
              <w:rPr>
                <w:rFonts w:ascii="Times New Roman" w:eastAsia="Times" w:hAnsi="Times New Roman" w:cs="Times New Roman"/>
                <w:noProof/>
                <w:lang w:val="sq-AL"/>
              </w:rPr>
              <w:t xml:space="preserve">Vlera e treguesit për vitin 2018 </w:t>
            </w:r>
            <w:r w:rsidRPr="00221487">
              <w:rPr>
                <w:rFonts w:ascii="Times New Roman" w:eastAsia="Times" w:hAnsi="Times New Roman" w:cs="Times New Roman"/>
                <w:b/>
                <w:noProof/>
                <w:lang w:val="sq-AL"/>
              </w:rPr>
              <w:t>u arrit</w:t>
            </w:r>
            <w:r w:rsidRPr="00221487">
              <w:rPr>
                <w:rFonts w:ascii="Times New Roman" w:eastAsia="Times" w:hAnsi="Times New Roman" w:cs="Times New Roman"/>
                <w:noProof/>
                <w:lang w:val="sq-AL"/>
              </w:rPr>
              <w:t xml:space="preserve"> duke qenë se treguesi është rritur në krahasim me vitin 2017.</w:t>
            </w:r>
          </w:p>
        </w:tc>
      </w:tr>
      <w:tr w:rsidR="00221487" w:rsidRPr="00221487" w:rsidTr="004342D7">
        <w:trPr>
          <w:cantSplit/>
          <w:trHeight w:val="297"/>
        </w:trPr>
        <w:tc>
          <w:tcPr>
            <w:tcW w:w="1733" w:type="dxa"/>
            <w:shd w:val="clear" w:color="auto" w:fill="D9D9D9" w:themeFill="background1" w:themeFillShade="D9"/>
          </w:tcPr>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w:hAnsi="Times New Roman" w:cs="Times New Roman"/>
                <w:noProof/>
                <w:lang w:val="sq-AL"/>
              </w:rPr>
              <w:t>Baza (2015)</w:t>
            </w:r>
          </w:p>
        </w:tc>
        <w:tc>
          <w:tcPr>
            <w:tcW w:w="2442" w:type="dxa"/>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2018</w:t>
            </w:r>
          </w:p>
        </w:tc>
        <w:tc>
          <w:tcPr>
            <w:tcW w:w="5208" w:type="dxa"/>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Synimi për 2020</w:t>
            </w:r>
          </w:p>
        </w:tc>
      </w:tr>
      <w:tr w:rsidR="00221487" w:rsidRPr="00221487" w:rsidTr="004342D7">
        <w:trPr>
          <w:cantSplit/>
          <w:trHeight w:val="80"/>
        </w:trPr>
        <w:tc>
          <w:tcPr>
            <w:tcW w:w="1733" w:type="dxa"/>
            <w:shd w:val="clear" w:color="auto" w:fill="D9D9D9" w:themeFill="background1" w:themeFillShade="D9"/>
          </w:tcPr>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95%</w:t>
            </w:r>
          </w:p>
        </w:tc>
        <w:tc>
          <w:tcPr>
            <w:tcW w:w="2442" w:type="dxa"/>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97%</w:t>
            </w:r>
          </w:p>
        </w:tc>
        <w:tc>
          <w:tcPr>
            <w:tcW w:w="5208" w:type="dxa"/>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New Roman" w:hAnsi="Times New Roman" w:cs="Times New Roman"/>
                <w:noProof/>
                <w:lang w:val="sq-AL"/>
              </w:rPr>
              <w:t xml:space="preserve">98%  </w:t>
            </w:r>
          </w:p>
        </w:tc>
      </w:tr>
    </w:tbl>
    <w:p w:rsidR="00221487" w:rsidRPr="00221487" w:rsidRDefault="00221487" w:rsidP="00221487">
      <w:pPr>
        <w:spacing w:after="0" w:line="240" w:lineRule="auto"/>
        <w:jc w:val="both"/>
        <w:rPr>
          <w:rFonts w:ascii="Times New Roman" w:eastAsia="Times" w:hAnsi="Times New Roman" w:cs="Times New Roman"/>
          <w:b/>
          <w:noProof/>
          <w:lang w:val="sq-AL"/>
        </w:rPr>
      </w:pPr>
    </w:p>
    <w:p w:rsidR="00221487" w:rsidRPr="00221487" w:rsidRDefault="00221487" w:rsidP="00221487">
      <w:pPr>
        <w:spacing w:after="0" w:line="240" w:lineRule="auto"/>
        <w:jc w:val="both"/>
        <w:rPr>
          <w:rFonts w:ascii="Times New Roman" w:eastAsia="Times" w:hAnsi="Times New Roman" w:cs="Times New Roman"/>
          <w:b/>
          <w:noProof/>
          <w:lang w:val="sq-AL"/>
        </w:rPr>
      </w:pPr>
    </w:p>
    <w:p w:rsidR="00221487" w:rsidRPr="00221487" w:rsidRDefault="00221487" w:rsidP="00221487">
      <w:pPr>
        <w:spacing w:after="0" w:line="240" w:lineRule="auto"/>
        <w:jc w:val="both"/>
        <w:rPr>
          <w:rFonts w:ascii="Times New Roman" w:eastAsia="Times" w:hAnsi="Times New Roman" w:cs="Times New Roman"/>
          <w:b/>
          <w:noProof/>
          <w:lang w:val="sq-AL"/>
        </w:rPr>
      </w:pPr>
      <w:r w:rsidRPr="00221487">
        <w:rPr>
          <w:rFonts w:ascii="Times New Roman" w:eastAsia="Times" w:hAnsi="Times New Roman" w:cs="Times New Roman"/>
          <w:b/>
          <w:noProof/>
          <w:lang w:val="sq-AL"/>
        </w:rPr>
        <w:t>Masa 1: Zhvillim i veprimtarive te vazhdueshme dhe mbështetje IT për gjurmimin dhe monitorimin e projekteve për investimet e mëdha. (</w:t>
      </w:r>
      <w:r w:rsidRPr="00221487">
        <w:rPr>
          <w:rFonts w:ascii="Times New Roman" w:eastAsia="Times" w:hAnsi="Times New Roman" w:cs="Times New Roman"/>
          <w:b/>
          <w:i/>
          <w:noProof/>
          <w:lang w:val="sq-AL"/>
        </w:rPr>
        <w:t>në proces/vonuar</w:t>
      </w:r>
      <w:r w:rsidRPr="00221487">
        <w:rPr>
          <w:rFonts w:ascii="Times New Roman" w:eastAsia="Times" w:hAnsi="Times New Roman" w:cs="Times New Roman"/>
          <w:b/>
          <w:noProof/>
          <w:lang w:val="sq-AL"/>
        </w:rPr>
        <w:t>)</w:t>
      </w:r>
    </w:p>
    <w:p w:rsidR="00221487" w:rsidRPr="00221487" w:rsidRDefault="00221487" w:rsidP="00221487">
      <w:pPr>
        <w:spacing w:after="0" w:line="240" w:lineRule="auto"/>
        <w:jc w:val="both"/>
        <w:rPr>
          <w:rFonts w:ascii="Times New Roman" w:eastAsia="Times New Roman" w:hAnsi="Times New Roman" w:cs="Times New Roman"/>
          <w:bCs/>
          <w:noProof/>
          <w:lang w:val="sq-AL"/>
        </w:rPr>
      </w:pPr>
    </w:p>
    <w:p w:rsidR="00221487" w:rsidRPr="00221487" w:rsidRDefault="00221487" w:rsidP="00221487">
      <w:pPr>
        <w:spacing w:after="0" w:line="240" w:lineRule="auto"/>
        <w:jc w:val="both"/>
        <w:rPr>
          <w:rFonts w:ascii="Times New Roman" w:eastAsia="Times New Roman" w:hAnsi="Times New Roman" w:cs="Times New Roman"/>
          <w:bCs/>
          <w:noProof/>
          <w:lang w:val="sq-AL"/>
        </w:rPr>
      </w:pPr>
      <w:r w:rsidRPr="00221487">
        <w:rPr>
          <w:rFonts w:ascii="Times New Roman" w:eastAsia="Times New Roman" w:hAnsi="Times New Roman" w:cs="Times New Roman"/>
          <w:bCs/>
          <w:noProof/>
          <w:lang w:val="sq-AL"/>
        </w:rPr>
        <w:t>Përmirësimi në ndjekjen dhe monitorimin e projekteve të mëdha investuese ka të bëjë me zbatimin e SIMF. Në këtë drejtim, gjatë vitit 2018, të gjitha pajisjet e TI-së janë dorëzuar nga kompania e zbatimit të projektit SIMF, JV Company dhe janë marrë në dorëzim nga stafi i MFE-së. Është kryer testimi i zbatimit të kodit të daljes në SFQ. Gjithashtu, është kryer migrimi i të dhënave në prodhimin PBA për PBA 2019-2021 në modulin e ri të PBA në SFQ. Ky aktivitet synon të sigurojë buxhetin e hollësishëm në nivelin e prodhimit për secilën njësi shpenzuese.</w:t>
      </w:r>
    </w:p>
    <w:p w:rsidR="00221487" w:rsidRPr="00221487" w:rsidRDefault="00221487" w:rsidP="00221487">
      <w:pPr>
        <w:spacing w:after="0" w:line="240" w:lineRule="auto"/>
        <w:jc w:val="both"/>
        <w:rPr>
          <w:rFonts w:ascii="Times New Roman" w:eastAsia="Times" w:hAnsi="Times New Roman" w:cs="Times New Roman"/>
          <w:b/>
          <w:noProof/>
          <w:lang w:val="sq-AL"/>
        </w:rPr>
      </w:pPr>
      <w:r w:rsidRPr="00221487">
        <w:rPr>
          <w:rFonts w:ascii="Times New Roman" w:eastAsia="Times New Roman" w:hAnsi="Times New Roman" w:cs="Times New Roman"/>
          <w:bCs/>
          <w:noProof/>
          <w:lang w:val="sq-AL"/>
        </w:rPr>
        <w:t>U krye testimi i brendshëm në lidhje me integrimin e SIMF me sistemet e tjera (SISPI, SIMNH, SIMBNJ, Doganat, dhe APP). Po ashtu, po punohet për përgatitjen e udhëzimeve përkatëse që sistemi SIMF të zyrtarizohet për secilin modul. SIMF pritet të nisë funksionimin gjatë vitit 2019 dhe përmirësime të konsiderueshme në ndjekjen e projekteve të mëdha investuese priten nga zbatimi i tij.</w:t>
      </w:r>
    </w:p>
    <w:p w:rsidR="00221487" w:rsidRPr="00221487" w:rsidRDefault="00221487" w:rsidP="00221487">
      <w:pPr>
        <w:spacing w:after="0" w:line="240" w:lineRule="auto"/>
        <w:jc w:val="both"/>
        <w:rPr>
          <w:rFonts w:ascii="Times New Roman" w:eastAsia="Times" w:hAnsi="Times New Roman" w:cs="Times New Roman"/>
          <w:b/>
          <w:noProof/>
          <w:lang w:val="sq-AL"/>
        </w:rPr>
      </w:pPr>
    </w:p>
    <w:p w:rsidR="00221487" w:rsidRPr="00221487" w:rsidRDefault="00221487" w:rsidP="00221487">
      <w:pPr>
        <w:spacing w:after="0" w:line="240" w:lineRule="auto"/>
        <w:jc w:val="both"/>
        <w:rPr>
          <w:rFonts w:ascii="Times New Roman" w:eastAsia="Times" w:hAnsi="Times New Roman" w:cs="Times New Roman"/>
          <w:b/>
          <w:noProof/>
          <w:lang w:val="sq-AL"/>
        </w:rPr>
      </w:pPr>
      <w:r w:rsidRPr="00221487">
        <w:rPr>
          <w:rFonts w:ascii="Times New Roman" w:eastAsia="Times" w:hAnsi="Times New Roman" w:cs="Times New Roman"/>
          <w:b/>
          <w:noProof/>
          <w:lang w:val="sq-AL"/>
        </w:rPr>
        <w:t>Masa 2: Forcim i mbikëqyrjes së KSH-ve që shkaktojnë humbje, mbartin risqe të mëdha fiskale dhe kërkojnë një mbështetje buxheti të drejtpërdrejtë ose të tërthortë. (</w:t>
      </w:r>
      <w:r w:rsidRPr="00221487">
        <w:rPr>
          <w:rFonts w:ascii="Times New Roman" w:eastAsia="Times" w:hAnsi="Times New Roman" w:cs="Times New Roman"/>
          <w:b/>
          <w:i/>
          <w:noProof/>
          <w:lang w:val="sq-AL"/>
        </w:rPr>
        <w:t>përfunduar</w:t>
      </w:r>
      <w:r w:rsidRPr="00221487">
        <w:rPr>
          <w:rFonts w:ascii="Times New Roman" w:eastAsia="Times" w:hAnsi="Times New Roman" w:cs="Times New Roman"/>
          <w:b/>
          <w:noProof/>
          <w:lang w:val="sq-AL"/>
        </w:rPr>
        <w:t>)</w:t>
      </w:r>
    </w:p>
    <w:p w:rsidR="00221487" w:rsidRPr="00221487" w:rsidRDefault="00221487" w:rsidP="00221487">
      <w:pPr>
        <w:spacing w:after="0" w:line="240" w:lineRule="auto"/>
        <w:jc w:val="both"/>
        <w:rPr>
          <w:rFonts w:ascii="Times New Roman" w:eastAsia="Times" w:hAnsi="Times New Roman" w:cs="Times New Roman"/>
          <w:b/>
          <w:noProof/>
          <w:lang w:val="sq-AL"/>
        </w:rPr>
      </w:pPr>
    </w:p>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Sipas nenit 4.2 të LOB-së,</w:t>
      </w:r>
      <w:r w:rsidRPr="00221487">
        <w:rPr>
          <w:rFonts w:ascii="Times New Roman" w:eastAsia="Times New Roman" w:hAnsi="Times New Roman" w:cs="Times New Roman"/>
          <w:noProof/>
          <w:lang w:val="sq-AL"/>
        </w:rPr>
        <w:t xml:space="preserve"> </w:t>
      </w:r>
      <w:r w:rsidRPr="00221487">
        <w:rPr>
          <w:rFonts w:ascii="Times New Roman" w:eastAsia="Times" w:hAnsi="Times New Roman" w:cs="Times New Roman"/>
          <w:noProof/>
          <w:lang w:val="sq-AL"/>
        </w:rPr>
        <w:t xml:space="preserve">(57/2016), së ndryshuar, KSH-të paraqesin tek MFE-ja pasqyrat financiare tre mujore dhe planet financiarë vjetorë. </w:t>
      </w:r>
    </w:p>
    <w:p w:rsidR="00221487" w:rsidRPr="00221487" w:rsidRDefault="00221487" w:rsidP="00221487">
      <w:pPr>
        <w:spacing w:after="0" w:line="240" w:lineRule="auto"/>
        <w:jc w:val="both"/>
        <w:rPr>
          <w:rFonts w:ascii="Times New Roman" w:eastAsia="Times" w:hAnsi="Times New Roman" w:cs="Times New Roman"/>
          <w:noProof/>
          <w:highlight w:val="yellow"/>
          <w:lang w:val="sq-AL"/>
        </w:rPr>
      </w:pPr>
      <w:r w:rsidRPr="00221487">
        <w:rPr>
          <w:rFonts w:ascii="Times New Roman" w:eastAsia="Times" w:hAnsi="Times New Roman" w:cs="Times New Roman"/>
          <w:noProof/>
          <w:lang w:val="sq-AL"/>
        </w:rPr>
        <w:t xml:space="preserve">NJRF-ja po monitoron treguesit kryesorë të KSH-ve çdo tre muaj, duke u përqendruar në risqet e sektorit të energjetikës. Çdo tre muaj, NJRF përgatit një raport të konsoliduar monitorimi mbi KSH-të. Përqendrimi tek risqet që vijnë nga sektori i energjetikës (si sektor me risk) është në përputhje me vendimin e drejtuesve të lartë të MFE-së. Bazuar në këto raporte tremujore dhe vjetore, NJRF-ja nxjerr një analizë të përmbledhur në Pasqyrën e Riskut Fiskal. </w:t>
      </w:r>
    </w:p>
    <w:p w:rsidR="00221487" w:rsidRPr="00221487" w:rsidRDefault="00221487" w:rsidP="00221487">
      <w:pPr>
        <w:spacing w:after="0" w:line="240" w:lineRule="auto"/>
        <w:jc w:val="both"/>
        <w:rPr>
          <w:rFonts w:ascii="Times New Roman" w:eastAsia="Times" w:hAnsi="Times New Roman" w:cs="Times New Roman"/>
          <w:noProof/>
          <w:lang w:val="sq-AL"/>
        </w:rPr>
      </w:pPr>
    </w:p>
    <w:p w:rsidR="00221487" w:rsidRPr="00221487" w:rsidRDefault="00221487" w:rsidP="00221487">
      <w:pPr>
        <w:spacing w:after="0" w:line="240" w:lineRule="auto"/>
        <w:jc w:val="both"/>
        <w:rPr>
          <w:rFonts w:ascii="Times New Roman" w:eastAsia="Times" w:hAnsi="Times New Roman" w:cs="Times New Roman"/>
          <w:b/>
          <w:noProof/>
          <w:lang w:val="sq-AL"/>
        </w:rPr>
      </w:pPr>
      <w:r w:rsidRPr="00221487">
        <w:rPr>
          <w:rFonts w:ascii="Times New Roman" w:eastAsia="Times" w:hAnsi="Times New Roman" w:cs="Times New Roman"/>
          <w:b/>
          <w:noProof/>
          <w:lang w:val="sq-AL"/>
        </w:rPr>
        <w:t>Masa 3: Pasja e një klasifikimi të qartë të projektit për të shmangur shtimin e projekteve të panevojshme. (</w:t>
      </w:r>
      <w:r w:rsidRPr="00221487">
        <w:rPr>
          <w:rFonts w:ascii="Times New Roman" w:eastAsia="Times" w:hAnsi="Times New Roman" w:cs="Times New Roman"/>
          <w:b/>
          <w:i/>
          <w:noProof/>
          <w:lang w:val="sq-AL"/>
        </w:rPr>
        <w:t>në proces/vonuar</w:t>
      </w:r>
      <w:r w:rsidRPr="00221487">
        <w:rPr>
          <w:rFonts w:ascii="Times New Roman" w:eastAsia="Times" w:hAnsi="Times New Roman" w:cs="Times New Roman"/>
          <w:b/>
          <w:noProof/>
          <w:lang w:val="sq-AL"/>
        </w:rPr>
        <w:t>)</w:t>
      </w:r>
    </w:p>
    <w:p w:rsidR="00221487" w:rsidRPr="00221487" w:rsidRDefault="00221487" w:rsidP="00221487">
      <w:pPr>
        <w:spacing w:after="0" w:line="240" w:lineRule="auto"/>
        <w:jc w:val="both"/>
        <w:rPr>
          <w:rFonts w:ascii="Times New Roman" w:eastAsia="Times" w:hAnsi="Times New Roman" w:cs="Times New Roman"/>
          <w:b/>
          <w:noProof/>
          <w:lang w:val="sq-AL"/>
        </w:rPr>
      </w:pPr>
    </w:p>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 xml:space="preserve">Është përparuar shumë në lidhje me këtë masë dhe kjo bazohet në sistemin e ri, SIMF, i cili ka dhënë dhe vazhdon të janë kontribut hap pas hapi në arritjen dhe përmbushjen e objektivave përkatëse, për kryerjen e monitorimit dhe raportimit të investimeve publike si pjesë e procesit të planifikimit dhe buxhetimit. </w:t>
      </w:r>
    </w:p>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Klasifikimi i ri do të ulë numrin e projekteve dhe do të nxisë një përputhshmëri më të mirë të objektivave të investimeve publike me ato të PBA-së, strategjive të sektorit dhe strategjisë kombëtare.</w:t>
      </w:r>
    </w:p>
    <w:p w:rsidR="00221487" w:rsidRPr="00221487" w:rsidRDefault="00221487" w:rsidP="00221487">
      <w:pPr>
        <w:spacing w:after="0" w:line="240" w:lineRule="auto"/>
        <w:jc w:val="both"/>
        <w:rPr>
          <w:rFonts w:ascii="Times New Roman" w:eastAsia="Times" w:hAnsi="Times New Roman" w:cs="Times New Roman"/>
          <w:noProof/>
          <w:lang w:val="sq-AL"/>
        </w:rPr>
      </w:pPr>
    </w:p>
    <w:p w:rsidR="00221487" w:rsidRPr="00221487" w:rsidRDefault="00221487" w:rsidP="00221487">
      <w:pPr>
        <w:spacing w:after="0" w:line="240" w:lineRule="auto"/>
        <w:jc w:val="both"/>
        <w:rPr>
          <w:rFonts w:ascii="Times New Roman" w:eastAsia="Times" w:hAnsi="Times New Roman" w:cs="Times New Roman"/>
          <w:b/>
          <w:noProof/>
          <w:lang w:val="sq-AL"/>
        </w:rPr>
      </w:pPr>
      <w:r w:rsidRPr="00221487">
        <w:rPr>
          <w:rFonts w:ascii="Times New Roman" w:eastAsia="Times" w:hAnsi="Times New Roman" w:cs="Times New Roman"/>
          <w:b/>
          <w:noProof/>
          <w:lang w:val="sq-AL"/>
        </w:rPr>
        <w:t>Masa 4: Forcim i rolit mbikëqyrës dhe atij të vëzhguesit fiskal të MFE-së për vlerësimet e projekteve. (</w:t>
      </w:r>
      <w:r w:rsidRPr="00221487">
        <w:rPr>
          <w:rFonts w:ascii="Times New Roman" w:eastAsia="Times" w:hAnsi="Times New Roman" w:cs="Times New Roman"/>
          <w:b/>
          <w:i/>
          <w:noProof/>
          <w:lang w:val="sq-AL"/>
        </w:rPr>
        <w:t>në proces/vonuar</w:t>
      </w:r>
      <w:r w:rsidRPr="00221487">
        <w:rPr>
          <w:rFonts w:ascii="Times New Roman" w:eastAsia="Times" w:hAnsi="Times New Roman" w:cs="Times New Roman"/>
          <w:b/>
          <w:noProof/>
          <w:lang w:val="sq-AL"/>
        </w:rPr>
        <w:t>)</w:t>
      </w:r>
    </w:p>
    <w:p w:rsidR="00221487" w:rsidRPr="00221487" w:rsidRDefault="00221487" w:rsidP="00221487">
      <w:pPr>
        <w:spacing w:after="0" w:line="240" w:lineRule="auto"/>
        <w:jc w:val="both"/>
        <w:rPr>
          <w:rFonts w:ascii="Times New Roman" w:eastAsia="Times" w:hAnsi="Times New Roman" w:cs="Times New Roman"/>
          <w:b/>
          <w:noProof/>
          <w:lang w:val="sq-AL"/>
        </w:rPr>
      </w:pPr>
    </w:p>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b/>
          <w:noProof/>
          <w:lang w:val="sq-AL"/>
        </w:rPr>
        <w:lastRenderedPageBreak/>
        <w:t xml:space="preserve">Departamenti i MIP-it vazhdon të forcojë rolin e vet si mbikëqyrës dhe vëzhgues fiskal për vlerësimin e projektit. </w:t>
      </w:r>
      <w:r w:rsidRPr="00221487">
        <w:rPr>
          <w:rFonts w:ascii="Times New Roman" w:eastAsia="Times" w:hAnsi="Times New Roman" w:cs="Times New Roman"/>
          <w:noProof/>
          <w:lang w:val="sq-AL"/>
        </w:rPr>
        <w:t>DMIP ka rishikuar marrëveshjet dhe praktikat aktuale për vlerësimin dhe përgatitën udhëzime dhe kritere që do të përdoreshin në vlerësimin teknik të projekteve të mëdha nga MFE-ja (projektet PPP nuk janë përfshirë). Vendimi për procedurat e administrimit të investimeve publike u miratua nga Këshilli i Ministrave më 29 Mars. Është botuar në gazetën zyrtare. Me miratimin e kësaj VKM-je nr. 185, datë 29.3.2018, zbatimi është ndjekur nga ministritë e linjës. Ndjekja e kësaj procedure filloi në maj 2018 me fazën e parë të PBA 2019-2021 dhe vazhdoi me reflektimin e ministrive të linjës gjatë fazës së dytë të PBA në Shtator 2018. Kjo VKM përcakton gjithashtu mënyrën e vlerësimit dhe përzgjedhjes së investimeve publike, që janë të njëjta për të gjitha projektet, pavarësisht nga burimi i financimit.</w:t>
      </w:r>
    </w:p>
    <w:p w:rsidR="00221487" w:rsidRPr="00221487" w:rsidRDefault="00221487" w:rsidP="00221487">
      <w:pPr>
        <w:spacing w:after="0" w:line="240" w:lineRule="auto"/>
        <w:jc w:val="both"/>
        <w:rPr>
          <w:rFonts w:ascii="Times New Roman" w:eastAsia="Times" w:hAnsi="Times New Roman" w:cs="Times New Roman"/>
          <w:noProof/>
          <w:lang w:val="sq-AL"/>
        </w:rPr>
      </w:pPr>
      <w:r w:rsidRPr="00221487">
        <w:rPr>
          <w:rFonts w:ascii="Times New Roman" w:eastAsia="Times" w:hAnsi="Times New Roman" w:cs="Times New Roman"/>
          <w:noProof/>
          <w:lang w:val="sq-AL"/>
        </w:rPr>
        <w:t>Emërimi i drejtorit në Drejtorinë e MIP-së në fund të vitit 2017 ka forcuar përmbushjen e kërkesave të shtuara kundrejt këtij departamenti gjatë vitit 2018.</w:t>
      </w:r>
    </w:p>
    <w:p w:rsidR="00221487" w:rsidRPr="00221487" w:rsidRDefault="00221487" w:rsidP="00221487">
      <w:pPr>
        <w:spacing w:after="0" w:line="240" w:lineRule="auto"/>
        <w:jc w:val="both"/>
        <w:rPr>
          <w:rFonts w:ascii="Times New Roman" w:eastAsia="Times" w:hAnsi="Times New Roman" w:cs="Times New Roman"/>
          <w:b/>
          <w:noProof/>
          <w:lang w:val="sq-AL"/>
        </w:rPr>
      </w:pPr>
    </w:p>
    <w:p w:rsidR="00221487" w:rsidRPr="00221487" w:rsidRDefault="00221487" w:rsidP="00221487">
      <w:pPr>
        <w:spacing w:after="0" w:line="240" w:lineRule="auto"/>
        <w:jc w:val="both"/>
        <w:rPr>
          <w:rFonts w:ascii="Times New Roman" w:eastAsia="Times" w:hAnsi="Times New Roman" w:cs="Times New Roman"/>
          <w:b/>
          <w:noProof/>
          <w:lang w:val="sq-AL"/>
        </w:rPr>
      </w:pPr>
      <w:r w:rsidRPr="00221487">
        <w:rPr>
          <w:rFonts w:ascii="Times New Roman" w:eastAsia="Times" w:hAnsi="Times New Roman" w:cs="Times New Roman"/>
          <w:b/>
          <w:noProof/>
          <w:lang w:val="sq-AL"/>
        </w:rPr>
        <w:t>Masa 5: Prioritizimi dhe përzgjedhja e projekteve me investime të mëdha të kryhet në një mënyrë sistematike (</w:t>
      </w:r>
      <w:r w:rsidRPr="00221487">
        <w:rPr>
          <w:rFonts w:ascii="Times New Roman" w:eastAsia="Times" w:hAnsi="Times New Roman" w:cs="Times New Roman"/>
          <w:b/>
          <w:i/>
          <w:noProof/>
          <w:lang w:val="sq-AL"/>
        </w:rPr>
        <w:t>në proces/vonuar</w:t>
      </w:r>
      <w:r w:rsidRPr="00221487">
        <w:rPr>
          <w:rFonts w:ascii="Times New Roman" w:eastAsia="Times" w:hAnsi="Times New Roman" w:cs="Times New Roman"/>
          <w:b/>
          <w:noProof/>
          <w:lang w:val="sq-AL"/>
        </w:rPr>
        <w:t xml:space="preserve">) </w:t>
      </w: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4342D7" w:rsidP="00221487">
      <w:pPr>
        <w:spacing w:after="0" w:line="240" w:lineRule="auto"/>
        <w:jc w:val="both"/>
        <w:rPr>
          <w:rFonts w:ascii="Times New Roman" w:eastAsia="Times New Roman" w:hAnsi="Times New Roman" w:cs="Times New Roman"/>
          <w:noProof/>
          <w:lang w:val="sq-AL"/>
        </w:rPr>
      </w:pPr>
      <w:r w:rsidRPr="004342D7">
        <w:rPr>
          <w:rFonts w:ascii="Times New Roman" w:eastAsia="Times New Roman" w:hAnsi="Times New Roman" w:cs="Times New Roman"/>
          <w:noProof/>
          <w:lang w:val="sq-AL"/>
        </w:rPr>
        <w:t>Lista e Unifikuar e Projekteve Kombëtare</w:t>
      </w:r>
      <w:r w:rsidR="00221487" w:rsidRPr="00221487">
        <w:rPr>
          <w:rFonts w:ascii="Times New Roman" w:eastAsia="Times New Roman" w:hAnsi="Times New Roman" w:cs="Times New Roman"/>
          <w:noProof/>
          <w:lang w:val="sq-AL"/>
        </w:rPr>
        <w:t xml:space="preserve"> (</w:t>
      </w:r>
      <w:r>
        <w:rPr>
          <w:rFonts w:ascii="Times New Roman" w:eastAsia="Times New Roman" w:hAnsi="Times New Roman" w:cs="Times New Roman"/>
          <w:noProof/>
          <w:lang w:val="sq-AL"/>
        </w:rPr>
        <w:t>LUPK</w:t>
      </w:r>
      <w:r w:rsidR="00221487" w:rsidRPr="00221487">
        <w:rPr>
          <w:rFonts w:ascii="Times New Roman" w:eastAsia="Times New Roman" w:hAnsi="Times New Roman" w:cs="Times New Roman"/>
          <w:noProof/>
          <w:lang w:val="sq-AL"/>
        </w:rPr>
        <w:t xml:space="preserve">) është një hap i rëndësishëm përpara për Shqipërinë në krijimin e një mjeti të besueshëm planifikimi afatgjatë e shumë-vjeçar për  investimet publike të nxitura nga politikat në Shqipëri. </w:t>
      </w:r>
      <w:r>
        <w:rPr>
          <w:rFonts w:ascii="Times New Roman" w:eastAsia="Times New Roman" w:hAnsi="Times New Roman" w:cs="Times New Roman"/>
          <w:noProof/>
          <w:lang w:val="sq-AL"/>
        </w:rPr>
        <w:t>LUPK</w:t>
      </w:r>
      <w:r w:rsidR="00221487" w:rsidRPr="00221487">
        <w:rPr>
          <w:rFonts w:ascii="Times New Roman" w:eastAsia="Times New Roman" w:hAnsi="Times New Roman" w:cs="Times New Roman"/>
          <w:noProof/>
          <w:lang w:val="sq-AL"/>
        </w:rPr>
        <w:t xml:space="preserve"> është tashmë baza për të gjitha fondet IPA të projekteve të investimeve përmes FIBB dhe portofolëve kombëtarë të IPA-s.</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Në 22 maj 2018 Shqipëria filloi procesin e rishikimit të </w:t>
      </w:r>
      <w:r w:rsidR="004342D7">
        <w:rPr>
          <w:rFonts w:ascii="Times New Roman" w:eastAsia="Times New Roman" w:hAnsi="Times New Roman" w:cs="Times New Roman"/>
          <w:noProof/>
          <w:lang w:val="sq-AL"/>
        </w:rPr>
        <w:t>LUPK</w:t>
      </w:r>
      <w:r w:rsidRPr="00221487">
        <w:rPr>
          <w:rFonts w:ascii="Times New Roman" w:eastAsia="Times New Roman" w:hAnsi="Times New Roman" w:cs="Times New Roman"/>
          <w:noProof/>
          <w:lang w:val="sq-AL"/>
        </w:rPr>
        <w:t xml:space="preserve"> 2016/2017 aktuale dhe përgatitjes së </w:t>
      </w:r>
      <w:r w:rsidR="004342D7">
        <w:rPr>
          <w:rFonts w:ascii="Times New Roman" w:eastAsia="Times New Roman" w:hAnsi="Times New Roman" w:cs="Times New Roman"/>
          <w:noProof/>
          <w:lang w:val="sq-AL"/>
        </w:rPr>
        <w:t>LUPK</w:t>
      </w:r>
      <w:r w:rsidRPr="00221487">
        <w:rPr>
          <w:rFonts w:ascii="Times New Roman" w:eastAsia="Times New Roman" w:hAnsi="Times New Roman" w:cs="Times New Roman"/>
          <w:noProof/>
          <w:lang w:val="sq-AL"/>
        </w:rPr>
        <w:t xml:space="preserve"> të re për vitin 2018. </w:t>
      </w:r>
      <w:r w:rsidR="004342D7">
        <w:rPr>
          <w:rFonts w:ascii="Times New Roman" w:eastAsia="Times New Roman" w:hAnsi="Times New Roman" w:cs="Times New Roman"/>
          <w:noProof/>
          <w:lang w:val="sq-AL"/>
        </w:rPr>
        <w:t>LUPK</w:t>
      </w:r>
      <w:r w:rsidRPr="00221487">
        <w:rPr>
          <w:rFonts w:ascii="Times New Roman" w:eastAsia="Times New Roman" w:hAnsi="Times New Roman" w:cs="Times New Roman"/>
          <w:noProof/>
          <w:lang w:val="sq-AL"/>
        </w:rPr>
        <w:t xml:space="preserve"> 2018 përfshin prioritetet e reja të qeverisë, por nuk ndryshon në mënyrë thelbësore </w:t>
      </w:r>
      <w:r w:rsidR="004342D7">
        <w:rPr>
          <w:rFonts w:ascii="Times New Roman" w:eastAsia="Times New Roman" w:hAnsi="Times New Roman" w:cs="Times New Roman"/>
          <w:noProof/>
          <w:lang w:val="sq-AL"/>
        </w:rPr>
        <w:t>LUPK</w:t>
      </w:r>
      <w:r w:rsidRPr="00221487">
        <w:rPr>
          <w:rFonts w:ascii="Times New Roman" w:eastAsia="Times New Roman" w:hAnsi="Times New Roman" w:cs="Times New Roman"/>
          <w:noProof/>
          <w:lang w:val="sq-AL"/>
        </w:rPr>
        <w:t xml:space="preserve">-në 2016/2017, sepse qeveria e Shqipërisë synon të ketë qëndrueshmëri në politikat qeveritare dhe investimet publike. </w:t>
      </w:r>
      <w:r w:rsidR="004342D7">
        <w:rPr>
          <w:rFonts w:ascii="Times New Roman" w:eastAsia="Times New Roman" w:hAnsi="Times New Roman" w:cs="Times New Roman"/>
          <w:noProof/>
          <w:lang w:val="sq-AL"/>
        </w:rPr>
        <w:t>LUPK</w:t>
      </w:r>
      <w:r w:rsidRPr="00221487">
        <w:rPr>
          <w:rFonts w:ascii="Times New Roman" w:eastAsia="Times New Roman" w:hAnsi="Times New Roman" w:cs="Times New Roman"/>
          <w:noProof/>
          <w:lang w:val="sq-AL"/>
        </w:rPr>
        <w:t xml:space="preserve"> 2018 është përqendruar në përmirësimin e procesit të përgjithshëm të përgatitjes së </w:t>
      </w:r>
      <w:r w:rsidR="004342D7" w:rsidRPr="004342D7">
        <w:rPr>
          <w:rFonts w:ascii="Times New Roman" w:eastAsia="Times New Roman" w:hAnsi="Times New Roman" w:cs="Times New Roman"/>
          <w:noProof/>
          <w:lang w:val="sq-AL"/>
        </w:rPr>
        <w:t>Lista e Unifikuar e Projekteve Kombëtare</w:t>
      </w:r>
      <w:r w:rsidRPr="00221487">
        <w:rPr>
          <w:rFonts w:ascii="Times New Roman" w:eastAsia="Times New Roman" w:hAnsi="Times New Roman" w:cs="Times New Roman"/>
          <w:noProof/>
          <w:lang w:val="sq-AL"/>
        </w:rPr>
        <w:t xml:space="preserve">, cilësinë e të gjithë paketave të dokumenteve të </w:t>
      </w:r>
      <w:r w:rsidR="004342D7">
        <w:rPr>
          <w:rFonts w:ascii="Times New Roman" w:eastAsia="Times New Roman" w:hAnsi="Times New Roman" w:cs="Times New Roman"/>
          <w:noProof/>
          <w:lang w:val="sq-AL"/>
        </w:rPr>
        <w:t>LUPK</w:t>
      </w:r>
      <w:r w:rsidRPr="00221487">
        <w:rPr>
          <w:rFonts w:ascii="Times New Roman" w:eastAsia="Times New Roman" w:hAnsi="Times New Roman" w:cs="Times New Roman"/>
          <w:noProof/>
          <w:lang w:val="sq-AL"/>
        </w:rPr>
        <w:t xml:space="preserve"> (</w:t>
      </w:r>
      <w:r w:rsidR="00B52EED">
        <w:rPr>
          <w:rFonts w:ascii="Times New Roman" w:eastAsia="Times New Roman" w:hAnsi="Times New Roman" w:cs="Times New Roman"/>
          <w:noProof/>
          <w:lang w:val="sq-AL"/>
        </w:rPr>
        <w:t>FIP</w:t>
      </w:r>
      <w:r w:rsidRPr="00221487">
        <w:rPr>
          <w:rFonts w:ascii="Times New Roman" w:eastAsia="Times New Roman" w:hAnsi="Times New Roman" w:cs="Times New Roman"/>
          <w:noProof/>
          <w:lang w:val="sq-AL"/>
        </w:rPr>
        <w:t xml:space="preserve"> dhe Vlerësimet e Përshtatshmërisë Strategjike (VPS) dhe harmonizimin e metodologjisë së </w:t>
      </w:r>
      <w:r w:rsidR="004342D7">
        <w:rPr>
          <w:rFonts w:ascii="Times New Roman" w:eastAsia="Times New Roman" w:hAnsi="Times New Roman" w:cs="Times New Roman"/>
          <w:noProof/>
          <w:lang w:val="sq-AL"/>
        </w:rPr>
        <w:t>Listës së Unifikuar të</w:t>
      </w:r>
      <w:r w:rsidR="004342D7" w:rsidRPr="004342D7">
        <w:rPr>
          <w:rFonts w:ascii="Times New Roman" w:eastAsia="Times New Roman" w:hAnsi="Times New Roman" w:cs="Times New Roman"/>
          <w:noProof/>
          <w:lang w:val="sq-AL"/>
        </w:rPr>
        <w:t xml:space="preserve"> Projekteve Kombëtare</w:t>
      </w:r>
      <w:r w:rsidRPr="00221487">
        <w:rPr>
          <w:rFonts w:ascii="Times New Roman" w:eastAsia="Times New Roman" w:hAnsi="Times New Roman" w:cs="Times New Roman"/>
          <w:noProof/>
          <w:lang w:val="sq-AL"/>
        </w:rPr>
        <w:t xml:space="preserve"> (</w:t>
      </w:r>
      <w:r w:rsidR="004342D7">
        <w:rPr>
          <w:rFonts w:ascii="Times New Roman" w:eastAsia="Times New Roman" w:hAnsi="Times New Roman" w:cs="Times New Roman"/>
          <w:noProof/>
          <w:lang w:val="sq-AL"/>
        </w:rPr>
        <w:t>LUPK</w:t>
      </w:r>
      <w:r w:rsidRPr="00221487">
        <w:rPr>
          <w:rFonts w:ascii="Times New Roman" w:eastAsia="Times New Roman" w:hAnsi="Times New Roman" w:cs="Times New Roman"/>
          <w:noProof/>
          <w:lang w:val="sq-AL"/>
        </w:rPr>
        <w:t xml:space="preserve">) me atë të investimeve publike. Drafti i parë i PSSPP-së u përgatit nga ministritë e linjës gjatë periudhës qershor - nëntorit 2018, (përmes Grupeve të Menaxhimit Strategjik nga ministritë e linjës) dhe Grupit të Menaxhimit të Buxhetit, nën udhëzimin metodologjik dhe koordinimin e Sekretariatit të Përgjithshëm të Komitetit të Planifikimit Strategjik/Këshillit Kombëtar të Investimeve (KPS /KKI). Ky proces përfshinte: Transportin (rrugor, hekurudhor, detar, ajror); Energjetikën (transmetimi, efikasiteti i energjisë, gazi, nafta); Mjedisin (uji dhe kanalizimi, mbrojtja nga përmbytja, ndotja e ajrit); Infrastrukturën sociale (arsimi dhe sporti, shëndetësia, arti-kultura, drejtësia, strehimi social, arsimi profesional); Infrastrukturën e biznesit (marina, turizmi) dhe infrastrukturën me brez të gjerë. Gjatë muajit nëntor-dhjetor 2018 Sekretariati i Përgjithshëm i NIC në bashkëpunim me </w:t>
      </w:r>
      <w:r w:rsidRPr="00B52EED">
        <w:rPr>
          <w:rFonts w:ascii="Times New Roman" w:eastAsia="Times New Roman" w:hAnsi="Times New Roman" w:cs="Times New Roman"/>
          <w:noProof/>
          <w:lang w:val="sq-AL"/>
        </w:rPr>
        <w:t>ministritë e linjës, Grupin e Menaxhimit të Buxhetit, Ministrinë e Financave dhe Ekonomisë dhe me ndihmën e IFICo/FIBB</w:t>
      </w:r>
      <w:r w:rsidRPr="00221487">
        <w:rPr>
          <w:rFonts w:ascii="Times New Roman" w:eastAsia="Times New Roman" w:hAnsi="Times New Roman" w:cs="Times New Roman"/>
          <w:noProof/>
          <w:lang w:val="sq-AL"/>
        </w:rPr>
        <w:t xml:space="preserve"> ka përfunduar </w:t>
      </w:r>
      <w:r w:rsidR="004342D7">
        <w:rPr>
          <w:rFonts w:ascii="Times New Roman" w:eastAsia="Times New Roman" w:hAnsi="Times New Roman" w:cs="Times New Roman"/>
          <w:noProof/>
          <w:lang w:val="sq-AL"/>
        </w:rPr>
        <w:t>LUPK</w:t>
      </w:r>
      <w:r w:rsidRPr="00221487">
        <w:rPr>
          <w:rFonts w:ascii="Times New Roman" w:eastAsia="Times New Roman" w:hAnsi="Times New Roman" w:cs="Times New Roman"/>
          <w:noProof/>
          <w:lang w:val="sq-AL"/>
        </w:rPr>
        <w:t xml:space="preserve"> 2018. Burimet e financimit të </w:t>
      </w:r>
      <w:r w:rsidR="004342D7">
        <w:rPr>
          <w:rFonts w:ascii="Times New Roman" w:eastAsia="Times New Roman" w:hAnsi="Times New Roman" w:cs="Times New Roman"/>
          <w:noProof/>
          <w:lang w:val="sq-AL"/>
        </w:rPr>
        <w:t>LUPK</w:t>
      </w:r>
      <w:r w:rsidRPr="00221487">
        <w:rPr>
          <w:rFonts w:ascii="Times New Roman" w:eastAsia="Times New Roman" w:hAnsi="Times New Roman" w:cs="Times New Roman"/>
          <w:noProof/>
          <w:lang w:val="sq-AL"/>
        </w:rPr>
        <w:t xml:space="preserve"> 2018 janë:</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a) Nga burimet e jashtme (FIBB, Institucionet Financiare Ndërkombëtare (Banka Botërore, Banka Evropiane për Rindërtim dhe Zhvillim (BERZH), BEI, BEQ etj., marrëveshje bilaterale me donatorë etj.).</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b) Nga burimet e brendshme (fondet nga buxheti i shtetit).</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c) Partneriteti Publik - Privat (PPP).</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Caktimi i prioriteteve të sektorit të projekteve strategjikë dhe përparësia kombëtare e </w:t>
      </w:r>
      <w:r w:rsidR="004342D7">
        <w:rPr>
          <w:rFonts w:ascii="Times New Roman" w:eastAsia="Times New Roman" w:hAnsi="Times New Roman" w:cs="Times New Roman"/>
          <w:noProof/>
          <w:lang w:val="sq-AL"/>
        </w:rPr>
        <w:t>LUPK</w:t>
      </w:r>
      <w:r w:rsidRPr="00221487">
        <w:rPr>
          <w:rFonts w:ascii="Times New Roman" w:eastAsia="Times New Roman" w:hAnsi="Times New Roman" w:cs="Times New Roman"/>
          <w:noProof/>
          <w:lang w:val="sq-AL"/>
        </w:rPr>
        <w:t xml:space="preserve"> 2018 u bë bazuar në kriteret e qarta:</w:t>
      </w:r>
    </w:p>
    <w:p w:rsidR="00221487" w:rsidRPr="00221487" w:rsidRDefault="00221487" w:rsidP="00221487">
      <w:pPr>
        <w:spacing w:after="0" w:line="240" w:lineRule="auto"/>
        <w:ind w:firstLine="72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Të gjitha ministritë e linjës paraqesin pranë Sekretariatit Teknik të Komitetit të Planifikimit Kombëtar / Komitetit të Planifikimit të Investimeve Kombëtare (KPK/KPI) listën e projekteve strategjike sipas fushave funksionale që mbulohen nga secili institucion (</w:t>
      </w:r>
      <w:r w:rsidR="004342D7" w:rsidRPr="004342D7">
        <w:rPr>
          <w:rFonts w:ascii="Times New Roman" w:eastAsia="Times New Roman" w:hAnsi="Times New Roman" w:cs="Times New Roman"/>
          <w:noProof/>
          <w:lang w:val="sq-AL"/>
        </w:rPr>
        <w:t xml:space="preserve">Lista e Unifikuar e Projekteve Kombëtare </w:t>
      </w:r>
      <w:r w:rsidRPr="00221487">
        <w:rPr>
          <w:rFonts w:ascii="Times New Roman" w:eastAsia="Times New Roman" w:hAnsi="Times New Roman" w:cs="Times New Roman"/>
          <w:noProof/>
          <w:lang w:val="sq-AL"/>
        </w:rPr>
        <w:t>(</w:t>
      </w:r>
      <w:r w:rsidR="004342D7">
        <w:rPr>
          <w:rFonts w:ascii="Times New Roman" w:eastAsia="Times New Roman" w:hAnsi="Times New Roman" w:cs="Times New Roman"/>
          <w:noProof/>
          <w:lang w:val="sq-AL"/>
        </w:rPr>
        <w:t>LUPK</w:t>
      </w:r>
      <w:r w:rsidRPr="00221487">
        <w:rPr>
          <w:rFonts w:ascii="Times New Roman" w:eastAsia="Times New Roman" w:hAnsi="Times New Roman" w:cs="Times New Roman"/>
          <w:noProof/>
          <w:lang w:val="sq-AL"/>
        </w:rPr>
        <w:t xml:space="preserve">). Metodologjia për </w:t>
      </w:r>
      <w:r w:rsidR="004342D7">
        <w:rPr>
          <w:rFonts w:ascii="Times New Roman" w:eastAsia="Times New Roman" w:hAnsi="Times New Roman" w:cs="Times New Roman"/>
          <w:noProof/>
          <w:lang w:val="sq-AL"/>
        </w:rPr>
        <w:t>LUPK</w:t>
      </w:r>
      <w:r w:rsidRPr="00221487">
        <w:rPr>
          <w:rFonts w:ascii="Times New Roman" w:eastAsia="Times New Roman" w:hAnsi="Times New Roman" w:cs="Times New Roman"/>
          <w:noProof/>
          <w:lang w:val="sq-AL"/>
        </w:rPr>
        <w:t xml:space="preserve"> ështe përgatitur në bashkëpunim me BE /FIBB dhe është e njëjtë për të gjitha vendet e WB6. Metodologjia bazohet në </w:t>
      </w:r>
      <w:r w:rsidR="00B52EED">
        <w:rPr>
          <w:rFonts w:ascii="Times New Roman" w:eastAsia="Times New Roman" w:hAnsi="Times New Roman" w:cs="Times New Roman"/>
          <w:noProof/>
          <w:lang w:val="sq-AL"/>
        </w:rPr>
        <w:t>FIP</w:t>
      </w:r>
      <w:r w:rsidRPr="00221487">
        <w:rPr>
          <w:rFonts w:ascii="Times New Roman" w:eastAsia="Times New Roman" w:hAnsi="Times New Roman" w:cs="Times New Roman"/>
          <w:noProof/>
          <w:lang w:val="sq-AL"/>
        </w:rPr>
        <w:t xml:space="preserve"> dhe SRA për secilën pjesë të projektit të SSPP. Grupi i Menaxhimit Strategjik për secilin sektor miraton kriteret e caktimit të prioriteteve.</w:t>
      </w:r>
    </w:p>
    <w:p w:rsidR="00221487" w:rsidRPr="00221487" w:rsidRDefault="00221487" w:rsidP="00221487">
      <w:pPr>
        <w:spacing w:after="0" w:line="240" w:lineRule="auto"/>
        <w:ind w:firstLine="72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Sekretariati teknik i KPS/KKI analizon dhe vlerëson të gjithë LPSS dhe përgatit listën e projekteve (</w:t>
      </w:r>
      <w:r w:rsidR="004342D7">
        <w:rPr>
          <w:rFonts w:ascii="Times New Roman" w:eastAsia="Times New Roman" w:hAnsi="Times New Roman" w:cs="Times New Roman"/>
          <w:noProof/>
          <w:lang w:val="sq-AL"/>
        </w:rPr>
        <w:t>LUPK</w:t>
      </w:r>
      <w:r w:rsidRPr="00221487">
        <w:rPr>
          <w:rFonts w:ascii="Times New Roman" w:eastAsia="Times New Roman" w:hAnsi="Times New Roman" w:cs="Times New Roman"/>
          <w:noProof/>
          <w:lang w:val="sq-AL"/>
        </w:rPr>
        <w:t xml:space="preserve">). Metodologjia për </w:t>
      </w:r>
      <w:r w:rsidR="004342D7">
        <w:rPr>
          <w:rFonts w:ascii="Times New Roman" w:eastAsia="Times New Roman" w:hAnsi="Times New Roman" w:cs="Times New Roman"/>
          <w:noProof/>
          <w:lang w:val="sq-AL"/>
        </w:rPr>
        <w:t>LUPK</w:t>
      </w:r>
      <w:r w:rsidRPr="00221487">
        <w:rPr>
          <w:rFonts w:ascii="Times New Roman" w:eastAsia="Times New Roman" w:hAnsi="Times New Roman" w:cs="Times New Roman"/>
          <w:noProof/>
          <w:lang w:val="sq-AL"/>
        </w:rPr>
        <w:t xml:space="preserve"> (kalimi nga LPSS në </w:t>
      </w:r>
      <w:r w:rsidR="004342D7">
        <w:rPr>
          <w:rFonts w:ascii="Times New Roman" w:eastAsia="Times New Roman" w:hAnsi="Times New Roman" w:cs="Times New Roman"/>
          <w:noProof/>
          <w:lang w:val="sq-AL"/>
        </w:rPr>
        <w:t>LUPK</w:t>
      </w:r>
      <w:r w:rsidRPr="00221487">
        <w:rPr>
          <w:rFonts w:ascii="Times New Roman" w:eastAsia="Times New Roman" w:hAnsi="Times New Roman" w:cs="Times New Roman"/>
          <w:noProof/>
          <w:lang w:val="sq-AL"/>
        </w:rPr>
        <w:t xml:space="preserve"> ështe përgatitur nga BE/FIBB dhe miratuar nga KPS/KKI më 17 maj 2017.</w:t>
      </w:r>
    </w:p>
    <w:p w:rsidR="00221487" w:rsidRPr="00221487" w:rsidRDefault="00221487" w:rsidP="00221487">
      <w:pPr>
        <w:spacing w:after="0" w:line="240" w:lineRule="auto"/>
        <w:ind w:firstLine="72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lastRenderedPageBreak/>
        <w:t xml:space="preserve">- Projektet strategjike, pjesë e PKSP, bazuar në vendimin KSP/KKI, hapësirën fiskale dhe përparësinë e tyre, futen çdo vit në ciklin e buxhetimit afatmesëm bazuar në procedurën e specifikuar në Vendimin e Këshillit të Ministrave (VKM) nr. 185, datë 29 Mars 2018 "Për Procedurat e Menaxhimit të Investimeve Publike". Gjatë muajit nëntor-dhjetor 2018 Sekretariati i Përgjithshëm i NIC në bashkëpunim me ministritë e </w:t>
      </w:r>
      <w:r w:rsidRPr="00B52EED">
        <w:rPr>
          <w:rFonts w:ascii="Times New Roman" w:eastAsia="Times New Roman" w:hAnsi="Times New Roman" w:cs="Times New Roman"/>
          <w:noProof/>
          <w:lang w:val="sq-AL"/>
        </w:rPr>
        <w:t>linjës, Grupin e Menaxhimit të Buxhetit, Ministrinë e Financave dhe Ekonomisë dhe me ndihmën e IFICo/</w:t>
      </w:r>
      <w:r w:rsidRPr="00221487">
        <w:rPr>
          <w:rFonts w:ascii="Times New Roman" w:eastAsia="Times New Roman" w:hAnsi="Times New Roman" w:cs="Times New Roman"/>
          <w:noProof/>
          <w:lang w:val="sq-AL"/>
        </w:rPr>
        <w:t xml:space="preserve">FIBB ka përfunduar </w:t>
      </w:r>
      <w:r w:rsidR="004342D7">
        <w:rPr>
          <w:rFonts w:ascii="Times New Roman" w:eastAsia="Times New Roman" w:hAnsi="Times New Roman" w:cs="Times New Roman"/>
          <w:noProof/>
          <w:lang w:val="sq-AL"/>
        </w:rPr>
        <w:t>LUPK</w:t>
      </w:r>
      <w:r w:rsidRPr="00221487">
        <w:rPr>
          <w:rFonts w:ascii="Times New Roman" w:eastAsia="Times New Roman" w:hAnsi="Times New Roman" w:cs="Times New Roman"/>
          <w:noProof/>
          <w:lang w:val="sq-AL"/>
        </w:rPr>
        <w:t xml:space="preserve"> 2018. </w:t>
      </w:r>
      <w:r w:rsidR="004342D7">
        <w:rPr>
          <w:rFonts w:ascii="Times New Roman" w:eastAsia="Times New Roman" w:hAnsi="Times New Roman" w:cs="Times New Roman"/>
          <w:noProof/>
          <w:lang w:val="sq-AL"/>
        </w:rPr>
        <w:t>LUPK</w:t>
      </w:r>
      <w:r w:rsidRPr="00221487">
        <w:rPr>
          <w:rFonts w:ascii="Times New Roman" w:eastAsia="Times New Roman" w:hAnsi="Times New Roman" w:cs="Times New Roman"/>
          <w:noProof/>
          <w:lang w:val="sq-AL"/>
        </w:rPr>
        <w:t xml:space="preserve"> 2018 do të miratohet brenda tremujorit të parë të 2019 nga KPS/KKI.</w:t>
      </w: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p>
    <w:p w:rsidR="00221487" w:rsidRPr="00221487" w:rsidRDefault="00221487" w:rsidP="00221487">
      <w:pPr>
        <w:keepNext/>
        <w:numPr>
          <w:ilvl w:val="2"/>
          <w:numId w:val="0"/>
        </w:numPr>
        <w:spacing w:after="0" w:line="240" w:lineRule="auto"/>
        <w:ind w:left="990" w:hanging="720"/>
        <w:jc w:val="both"/>
        <w:outlineLvl w:val="2"/>
        <w:rPr>
          <w:rFonts w:ascii="Times New Roman" w:eastAsia="Times" w:hAnsi="Times New Roman" w:cs="Times New Roman"/>
          <w:noProof/>
          <w:sz w:val="24"/>
          <w:szCs w:val="24"/>
          <w:lang w:val="sq-AL"/>
        </w:rPr>
      </w:pPr>
      <w:bookmarkStart w:id="42" w:name="_Toc3984177"/>
      <w:bookmarkStart w:id="43" w:name="_Toc3984466"/>
      <w:r w:rsidRPr="00221487">
        <w:rPr>
          <w:rFonts w:ascii="Times New Roman" w:eastAsia="Times" w:hAnsi="Times New Roman" w:cs="Times New Roman"/>
          <w:noProof/>
          <w:sz w:val="24"/>
          <w:szCs w:val="24"/>
          <w:lang w:val="sq-AL"/>
        </w:rPr>
        <w:t>Programi  Buxhetor Afatmesëm</w:t>
      </w:r>
      <w:bookmarkEnd w:id="42"/>
      <w:bookmarkEnd w:id="43"/>
      <w:r w:rsidRPr="00221487">
        <w:rPr>
          <w:rFonts w:ascii="Times New Roman" w:eastAsia="Times" w:hAnsi="Times New Roman" w:cs="Times New Roman"/>
          <w:noProof/>
          <w:sz w:val="24"/>
          <w:szCs w:val="24"/>
          <w:lang w:val="sq-AL"/>
        </w:rPr>
        <w:t xml:space="preserve"> </w:t>
      </w:r>
    </w:p>
    <w:p w:rsidR="00221487" w:rsidRPr="00221487" w:rsidRDefault="00221487" w:rsidP="00221487">
      <w:pPr>
        <w:spacing w:after="0" w:line="240" w:lineRule="auto"/>
        <w:jc w:val="both"/>
        <w:rPr>
          <w:rFonts w:ascii="Times New Roman" w:eastAsia="Times" w:hAnsi="Times New Roman" w:cs="Times New Roman"/>
          <w:noProof/>
          <w:sz w:val="24"/>
          <w:szCs w:val="24"/>
          <w:highlight w:val="yellow"/>
          <w:lang w:val="sq-AL"/>
        </w:rPr>
      </w:pPr>
    </w:p>
    <w:tbl>
      <w:tblPr>
        <w:tblW w:w="0" w:type="auto"/>
        <w:tblInd w:w="108"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ook w:val="04A0" w:firstRow="1" w:lastRow="0" w:firstColumn="1" w:lastColumn="0" w:noHBand="0" w:noVBand="1"/>
      </w:tblPr>
      <w:tblGrid>
        <w:gridCol w:w="1800"/>
        <w:gridCol w:w="3420"/>
        <w:gridCol w:w="236"/>
        <w:gridCol w:w="4183"/>
      </w:tblGrid>
      <w:tr w:rsidR="00221487" w:rsidRPr="005B32A4" w:rsidTr="004342D7">
        <w:tc>
          <w:tcPr>
            <w:tcW w:w="9639" w:type="dxa"/>
            <w:gridSpan w:val="4"/>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t>Objektivi</w:t>
            </w:r>
            <w:r w:rsidRPr="00221487">
              <w:rPr>
                <w:rFonts w:ascii="Times New Roman" w:eastAsia="Times" w:hAnsi="Times New Roman" w:cs="Times New Roman"/>
                <w:i/>
                <w:noProof/>
                <w:sz w:val="24"/>
                <w:szCs w:val="24"/>
                <w:vertAlign w:val="superscript"/>
                <w:lang w:val="sq-AL"/>
              </w:rPr>
              <w:footnoteReference w:id="13"/>
            </w:r>
            <w:r w:rsidRPr="00221487">
              <w:rPr>
                <w:rFonts w:ascii="Times New Roman" w:eastAsia="Times" w:hAnsi="Times New Roman" w:cs="Times New Roman"/>
                <w:i/>
                <w:noProof/>
                <w:sz w:val="24"/>
                <w:szCs w:val="24"/>
                <w:lang w:val="sq-AL"/>
              </w:rPr>
              <w:t xml:space="preserve"> </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New Roman" w:hAnsi="Times New Roman" w:cs="Times New Roman"/>
                <w:noProof/>
                <w:sz w:val="24"/>
                <w:szCs w:val="24"/>
                <w:lang w:val="sq-AL"/>
              </w:rPr>
              <w:t>Kuadër i matur dhe i fortë procedural për përgatitjen e PBA-së. Kuadri i PBA-së që përfshin SKZHI-në, prioritetet qeveritare dhe strategjike sektoriale për planin afatmesëm dhe jep rezultate brenda burimeve të qëndrueshme financiare për tre vitet e ardhshme</w:t>
            </w:r>
            <w:r w:rsidRPr="00221487">
              <w:rPr>
                <w:rFonts w:ascii="Times New Roman" w:eastAsia="Times" w:hAnsi="Times New Roman" w:cs="Times New Roman"/>
                <w:noProof/>
                <w:sz w:val="24"/>
                <w:szCs w:val="24"/>
                <w:lang w:val="sq-AL"/>
              </w:rPr>
              <w:t>.</w:t>
            </w:r>
          </w:p>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t>Treguesi i rezultatit 2</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Shpenzimet e planifikuara (dhe të ardhurat) për KBA-në të miratuara në vitin n /totali i shpenzimeve (dhe të ardhurave) gjatë vitit n në buxhetin vjetor është  0%</w:t>
            </w:r>
          </w:p>
          <w:p w:rsidR="00221487" w:rsidRPr="00221487" w:rsidRDefault="00221487" w:rsidP="00221487">
            <w:pPr>
              <w:spacing w:after="0" w:line="240" w:lineRule="auto"/>
              <w:jc w:val="both"/>
              <w:rPr>
                <w:rFonts w:ascii="Times New Roman" w:eastAsia="Times New Roman" w:hAnsi="Times New Roman" w:cs="Times New Roman"/>
                <w:i/>
                <w:noProof/>
                <w:sz w:val="24"/>
                <w:szCs w:val="24"/>
                <w:lang w:val="sq-AL"/>
              </w:rPr>
            </w:pPr>
            <w:r w:rsidRPr="00221487">
              <w:rPr>
                <w:rFonts w:ascii="Times New Roman" w:eastAsia="Times" w:hAnsi="Times New Roman" w:cs="Times New Roman"/>
                <w:i/>
                <w:noProof/>
                <w:sz w:val="24"/>
                <w:szCs w:val="24"/>
                <w:lang w:val="sq-AL"/>
              </w:rPr>
              <w:t>Vlera e treguesit</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Treguesi për vitin 2018 </w:t>
            </w:r>
            <w:r w:rsidRPr="00221487">
              <w:rPr>
                <w:rFonts w:ascii="Times New Roman" w:eastAsia="Times New Roman" w:hAnsi="Times New Roman" w:cs="Times New Roman"/>
                <w:b/>
                <w:noProof/>
                <w:sz w:val="24"/>
                <w:szCs w:val="24"/>
                <w:lang w:val="sq-AL"/>
              </w:rPr>
              <w:t>nuk u përmbush</w:t>
            </w:r>
            <w:r w:rsidRPr="00221487">
              <w:rPr>
                <w:rFonts w:ascii="Times New Roman" w:eastAsia="Times New Roman" w:hAnsi="Times New Roman" w:cs="Times New Roman"/>
                <w:noProof/>
                <w:sz w:val="24"/>
                <w:szCs w:val="24"/>
                <w:lang w:val="sq-AL"/>
              </w:rPr>
              <w:t>, pasi pësoi një rënie të lehtë krahasuar me vitin 2017, sepse:</w:t>
            </w:r>
          </w:p>
          <w:p w:rsidR="00221487" w:rsidRPr="00221487" w:rsidRDefault="00221487" w:rsidP="007C6F79">
            <w:pPr>
              <w:numPr>
                <w:ilvl w:val="0"/>
                <w:numId w:val="12"/>
              </w:numPr>
              <w:spacing w:after="0" w:line="240" w:lineRule="auto"/>
              <w:contextualSpacing/>
              <w:jc w:val="both"/>
              <w:rPr>
                <w:rFonts w:ascii="Times New Roman" w:eastAsia="Times" w:hAnsi="Times New Roman" w:cs="Times New Roman"/>
                <w:noProof/>
                <w:sz w:val="24"/>
                <w:szCs w:val="24"/>
                <w:lang w:val="sq-AL"/>
              </w:rPr>
            </w:pPr>
            <w:r w:rsidRPr="00221487">
              <w:rPr>
                <w:rFonts w:ascii="Times New Roman" w:eastAsia="Times New Roman" w:hAnsi="Times New Roman" w:cs="Times New Roman"/>
                <w:noProof/>
                <w:sz w:val="24"/>
                <w:szCs w:val="24"/>
                <w:lang w:val="sq-AL"/>
              </w:rPr>
              <w:t>Nuk duhet të ketë devijim midis totalit të shpenzimeve të planifikuara, të miratuara për vitin e parë të PBA</w:t>
            </w:r>
            <w:r w:rsidRPr="00221487">
              <w:rPr>
                <w:rFonts w:ascii="Times New Roman" w:eastAsia="Times New Roman" w:hAnsi="Times New Roman" w:cs="Times New Roman"/>
                <w:noProof/>
                <w:sz w:val="24"/>
                <w:szCs w:val="24"/>
                <w:vertAlign w:val="subscript"/>
                <w:lang w:val="sq-AL"/>
              </w:rPr>
              <w:t>18-20</w:t>
            </w:r>
            <w:r w:rsidRPr="00221487">
              <w:rPr>
                <w:rFonts w:ascii="Times New Roman" w:eastAsia="Times New Roman" w:hAnsi="Times New Roman" w:cs="Times New Roman"/>
                <w:noProof/>
                <w:sz w:val="24"/>
                <w:szCs w:val="24"/>
                <w:lang w:val="sq-AL"/>
              </w:rPr>
              <w:t xml:space="preserve"> kundrejt totalit të shpenzimeve të planifikuara në buxhetin vjetor të vitit 2018 (raporti i  devijimit=zero)</w:t>
            </w:r>
          </w:p>
          <w:p w:rsidR="00221487" w:rsidRPr="00221487" w:rsidRDefault="00221487" w:rsidP="007C6F79">
            <w:pPr>
              <w:numPr>
                <w:ilvl w:val="0"/>
                <w:numId w:val="12"/>
              </w:numPr>
              <w:spacing w:after="0" w:line="240" w:lineRule="auto"/>
              <w:contextualSpacing/>
              <w:jc w:val="both"/>
              <w:rPr>
                <w:rFonts w:ascii="Times New Roman" w:eastAsia="Times" w:hAnsi="Times New Roman" w:cs="Times New Roman"/>
                <w:noProof/>
                <w:sz w:val="24"/>
                <w:szCs w:val="24"/>
                <w:lang w:val="sq-AL"/>
              </w:rPr>
            </w:pPr>
            <w:r w:rsidRPr="00221487">
              <w:rPr>
                <w:rFonts w:ascii="Times New Roman" w:eastAsia="Times New Roman" w:hAnsi="Times New Roman" w:cs="Times New Roman"/>
                <w:noProof/>
                <w:sz w:val="24"/>
                <w:szCs w:val="24"/>
                <w:lang w:val="sq-AL"/>
              </w:rPr>
              <w:t>Nuk duhet të ketë devijim midis totalit të shpenzimeve të planifikuara, të miratuara për vitin e parë të PBA</w:t>
            </w:r>
            <w:r w:rsidRPr="00221487">
              <w:rPr>
                <w:rFonts w:ascii="Times New Roman" w:eastAsia="Times New Roman" w:hAnsi="Times New Roman" w:cs="Times New Roman"/>
                <w:noProof/>
                <w:sz w:val="24"/>
                <w:szCs w:val="24"/>
                <w:vertAlign w:val="subscript"/>
                <w:lang w:val="sq-AL"/>
              </w:rPr>
              <w:t>18-20</w:t>
            </w:r>
            <w:r w:rsidRPr="00221487">
              <w:rPr>
                <w:rFonts w:ascii="Times New Roman" w:eastAsia="Times New Roman" w:hAnsi="Times New Roman" w:cs="Times New Roman"/>
                <w:noProof/>
                <w:sz w:val="24"/>
                <w:szCs w:val="24"/>
                <w:lang w:val="sq-AL"/>
              </w:rPr>
              <w:t xml:space="preserve"> kundrejt totalit të shpenzimeve të planifikuara në ligjin vjetor për buxhetin (raporti i devijimit=zero)</w:t>
            </w:r>
          </w:p>
        </w:tc>
      </w:tr>
      <w:tr w:rsidR="00221487" w:rsidRPr="00221487" w:rsidTr="004342D7">
        <w:tc>
          <w:tcPr>
            <w:tcW w:w="1800" w:type="dxa"/>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Vlerabazë (2015)</w:t>
            </w:r>
          </w:p>
        </w:tc>
        <w:tc>
          <w:tcPr>
            <w:tcW w:w="3420" w:type="dxa"/>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sz w:val="24"/>
                <w:szCs w:val="24"/>
                <w:highlight w:val="yellow"/>
                <w:lang w:val="sq-AL"/>
              </w:rPr>
            </w:pPr>
            <w:r w:rsidRPr="00221487">
              <w:rPr>
                <w:rFonts w:ascii="Times New Roman" w:eastAsia="Times" w:hAnsi="Times New Roman" w:cs="Times New Roman"/>
                <w:noProof/>
                <w:sz w:val="24"/>
                <w:szCs w:val="24"/>
                <w:lang w:val="sq-AL"/>
              </w:rPr>
              <w:t>2018</w:t>
            </w:r>
          </w:p>
        </w:tc>
        <w:tc>
          <w:tcPr>
            <w:tcW w:w="4419" w:type="dxa"/>
            <w:gridSpan w:val="2"/>
            <w:shd w:val="clear" w:color="auto" w:fill="D9D9D9" w:themeFill="background1" w:themeFillShade="D9"/>
          </w:tcPr>
          <w:p w:rsidR="00221487" w:rsidRPr="00221487" w:rsidRDefault="00221487" w:rsidP="00221487">
            <w:pPr>
              <w:spacing w:after="0" w:line="240" w:lineRule="auto"/>
              <w:rPr>
                <w:rFonts w:ascii="Times New Roman" w:eastAsia="Times" w:hAnsi="Times New Roman" w:cs="Times New Roman"/>
                <w:noProof/>
                <w:color w:val="000000" w:themeColor="text1"/>
                <w:sz w:val="24"/>
                <w:szCs w:val="24"/>
                <w:lang w:val="sq-AL"/>
              </w:rPr>
            </w:pPr>
            <w:r w:rsidRPr="00221487">
              <w:rPr>
                <w:rFonts w:ascii="Times New Roman" w:eastAsia="Times" w:hAnsi="Times New Roman" w:cs="Times New Roman"/>
                <w:noProof/>
                <w:color w:val="000000" w:themeColor="text1"/>
                <w:sz w:val="24"/>
                <w:szCs w:val="24"/>
                <w:lang w:val="sq-AL"/>
              </w:rPr>
              <w:t>Synimi 2020</w:t>
            </w:r>
          </w:p>
        </w:tc>
      </w:tr>
      <w:tr w:rsidR="00221487" w:rsidRPr="00221487" w:rsidTr="004342D7">
        <w:tc>
          <w:tcPr>
            <w:tcW w:w="1800" w:type="dxa"/>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-14%</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-1%</w:t>
            </w:r>
          </w:p>
        </w:tc>
        <w:tc>
          <w:tcPr>
            <w:tcW w:w="3420" w:type="dxa"/>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DE</w:t>
            </w:r>
            <w:r w:rsidRPr="00221487">
              <w:rPr>
                <w:rFonts w:ascii="Times New Roman" w:eastAsia="Times" w:hAnsi="Times New Roman" w:cs="Times New Roman"/>
                <w:noProof/>
                <w:sz w:val="24"/>
                <w:szCs w:val="24"/>
                <w:vertAlign w:val="subscript"/>
                <w:lang w:val="sq-AL"/>
              </w:rPr>
              <w:t>MTBP/AB</w:t>
            </w:r>
            <w:r w:rsidRPr="00221487">
              <w:rPr>
                <w:rFonts w:ascii="Times New Roman" w:eastAsia="Times" w:hAnsi="Times New Roman" w:cs="Times New Roman"/>
                <w:noProof/>
                <w:sz w:val="24"/>
                <w:szCs w:val="24"/>
                <w:lang w:val="sq-AL"/>
              </w:rPr>
              <w:t>= 0.78 % (2018)</w:t>
            </w:r>
          </w:p>
          <w:p w:rsidR="00221487" w:rsidRPr="00221487" w:rsidRDefault="00221487" w:rsidP="00221487">
            <w:pPr>
              <w:spacing w:after="0" w:line="240" w:lineRule="auto"/>
              <w:jc w:val="both"/>
              <w:rPr>
                <w:rFonts w:ascii="Times New Roman" w:eastAsia="Times" w:hAnsi="Times New Roman" w:cs="Times New Roman"/>
                <w:noProof/>
                <w:sz w:val="24"/>
                <w:szCs w:val="24"/>
                <w:highlight w:val="yellow"/>
                <w:lang w:val="sq-AL"/>
              </w:rPr>
            </w:pPr>
            <w:r w:rsidRPr="00221487">
              <w:rPr>
                <w:rFonts w:ascii="Times New Roman" w:eastAsia="Times" w:hAnsi="Times New Roman" w:cs="Times New Roman"/>
                <w:noProof/>
                <w:sz w:val="24"/>
                <w:szCs w:val="24"/>
                <w:lang w:val="sq-AL"/>
              </w:rPr>
              <w:t>DR</w:t>
            </w:r>
            <w:r w:rsidRPr="00221487">
              <w:rPr>
                <w:rFonts w:ascii="Times New Roman" w:eastAsia="Times" w:hAnsi="Times New Roman" w:cs="Times New Roman"/>
                <w:noProof/>
                <w:sz w:val="24"/>
                <w:szCs w:val="24"/>
                <w:vertAlign w:val="subscript"/>
                <w:lang w:val="sq-AL"/>
              </w:rPr>
              <w:t>MTBP/AB</w:t>
            </w:r>
            <w:r w:rsidRPr="00221487">
              <w:rPr>
                <w:rFonts w:ascii="Times New Roman" w:eastAsia="Times" w:hAnsi="Times New Roman" w:cs="Times New Roman"/>
                <w:noProof/>
                <w:sz w:val="24"/>
                <w:szCs w:val="24"/>
                <w:lang w:val="sq-AL"/>
              </w:rPr>
              <w:t>= 1.4%  (2018)</w:t>
            </w:r>
          </w:p>
        </w:tc>
        <w:tc>
          <w:tcPr>
            <w:tcW w:w="236" w:type="dxa"/>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p>
        </w:tc>
        <w:tc>
          <w:tcPr>
            <w:tcW w:w="4183" w:type="dxa"/>
            <w:shd w:val="clear" w:color="auto" w:fill="D9D9D9" w:themeFill="background1" w:themeFillShade="D9"/>
          </w:tcPr>
          <w:p w:rsidR="00221487" w:rsidRPr="00221487" w:rsidRDefault="00221487" w:rsidP="00221487">
            <w:pPr>
              <w:spacing w:after="0" w:line="240" w:lineRule="auto"/>
              <w:ind w:left="-254" w:firstLine="180"/>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DE</w:t>
            </w:r>
            <w:r w:rsidRPr="00221487">
              <w:rPr>
                <w:rFonts w:ascii="Times New Roman" w:eastAsia="Times" w:hAnsi="Times New Roman" w:cs="Times New Roman"/>
                <w:noProof/>
                <w:sz w:val="24"/>
                <w:szCs w:val="24"/>
                <w:vertAlign w:val="subscript"/>
                <w:lang w:val="sq-AL"/>
              </w:rPr>
              <w:t>MTBP/AB</w:t>
            </w:r>
            <w:r w:rsidRPr="00221487">
              <w:rPr>
                <w:rFonts w:ascii="Times New Roman" w:eastAsia="Times" w:hAnsi="Times New Roman" w:cs="Times New Roman"/>
                <w:noProof/>
                <w:sz w:val="24"/>
                <w:szCs w:val="24"/>
                <w:lang w:val="sq-AL"/>
              </w:rPr>
              <w:t xml:space="preserve"> = 0%</w:t>
            </w:r>
          </w:p>
          <w:p w:rsidR="00221487" w:rsidRPr="00221487" w:rsidRDefault="00221487" w:rsidP="00221487">
            <w:pPr>
              <w:spacing w:after="0" w:line="240" w:lineRule="auto"/>
              <w:ind w:left="-254" w:firstLine="180"/>
              <w:jc w:val="both"/>
              <w:rPr>
                <w:rFonts w:ascii="Times New Roman" w:eastAsia="Times" w:hAnsi="Times New Roman" w:cs="Times New Roman"/>
                <w:noProof/>
                <w:sz w:val="24"/>
                <w:szCs w:val="24"/>
                <w:lang w:val="sq-AL"/>
              </w:rPr>
            </w:pPr>
            <w:r w:rsidRPr="00221487">
              <w:rPr>
                <w:rFonts w:ascii="Times New Roman" w:eastAsia="Times New Roman" w:hAnsi="Times New Roman" w:cs="Times New Roman"/>
                <w:noProof/>
                <w:sz w:val="24"/>
                <w:szCs w:val="24"/>
                <w:lang w:val="sq-AL"/>
              </w:rPr>
              <w:t>DR</w:t>
            </w:r>
            <w:r w:rsidRPr="00221487">
              <w:rPr>
                <w:rFonts w:ascii="Times New Roman" w:eastAsia="Times New Roman" w:hAnsi="Times New Roman" w:cs="Times New Roman"/>
                <w:noProof/>
                <w:sz w:val="24"/>
                <w:szCs w:val="24"/>
                <w:vertAlign w:val="subscript"/>
                <w:lang w:val="sq-AL"/>
              </w:rPr>
              <w:t xml:space="preserve">MTBP/AB = </w:t>
            </w:r>
            <w:r w:rsidRPr="00221487">
              <w:rPr>
                <w:rFonts w:ascii="Times New Roman" w:eastAsia="Times New Roman" w:hAnsi="Times New Roman" w:cs="Times New Roman"/>
                <w:noProof/>
                <w:sz w:val="24"/>
                <w:szCs w:val="24"/>
                <w:lang w:val="sq-AL"/>
              </w:rPr>
              <w:t>0%</w:t>
            </w:r>
            <w:r w:rsidRPr="00221487">
              <w:rPr>
                <w:rFonts w:ascii="Times New Roman" w:eastAsia="Times New Roman" w:hAnsi="Times New Roman" w:cs="Times New Roman"/>
                <w:b/>
                <w:noProof/>
                <w:sz w:val="24"/>
                <w:szCs w:val="24"/>
                <w:lang w:val="sq-AL"/>
              </w:rPr>
              <w:t xml:space="preserve"> </w:t>
            </w:r>
            <w:r w:rsidRPr="00221487">
              <w:rPr>
                <w:rFonts w:ascii="Times New Roman" w:eastAsia="Times New Roman" w:hAnsi="Times New Roman" w:cs="Times New Roman"/>
                <w:noProof/>
                <w:sz w:val="24"/>
                <w:szCs w:val="24"/>
                <w:lang w:val="sq-AL"/>
              </w:rPr>
              <w:t xml:space="preserve"> </w:t>
            </w:r>
          </w:p>
        </w:tc>
      </w:tr>
    </w:tbl>
    <w:p w:rsidR="00221487" w:rsidRPr="00221487" w:rsidRDefault="00221487" w:rsidP="00221487">
      <w:pPr>
        <w:spacing w:after="0" w:line="240" w:lineRule="auto"/>
        <w:jc w:val="both"/>
        <w:rPr>
          <w:rFonts w:ascii="Times New Roman" w:eastAsia="Times" w:hAnsi="Times New Roman" w:cs="Times New Roman"/>
          <w:b/>
          <w:noProof/>
          <w:sz w:val="24"/>
          <w:szCs w:val="24"/>
          <w:highlight w:val="yellow"/>
          <w:lang w:val="sq-AL"/>
        </w:rPr>
      </w:pPr>
    </w:p>
    <w:p w:rsidR="00221487" w:rsidRPr="00221487" w:rsidRDefault="00221487" w:rsidP="00221487">
      <w:pPr>
        <w:spacing w:after="0" w:line="240" w:lineRule="auto"/>
        <w:jc w:val="both"/>
        <w:rPr>
          <w:rFonts w:ascii="Times New Roman" w:eastAsia="Times" w:hAnsi="Times New Roman" w:cs="Times New Roman"/>
          <w:b/>
          <w:noProof/>
          <w:sz w:val="24"/>
          <w:szCs w:val="24"/>
          <w:lang w:val="sq-AL"/>
        </w:rPr>
      </w:pPr>
      <w:r w:rsidRPr="00221487">
        <w:rPr>
          <w:rFonts w:ascii="Times New Roman" w:eastAsia="Times" w:hAnsi="Times New Roman" w:cs="Times New Roman"/>
          <w:b/>
          <w:noProof/>
          <w:sz w:val="24"/>
          <w:szCs w:val="24"/>
          <w:lang w:val="sq-AL"/>
        </w:rPr>
        <w:t>Masa 1: Përgatitja dhe paraqitja në Kuvend e propozimeve për ndryshime në LOB, me objektivin e forcimit të procesit të PBA-së (e plotësuar)</w:t>
      </w:r>
      <w:r w:rsidRPr="00221487" w:rsidDel="00EE7197">
        <w:rPr>
          <w:rFonts w:ascii="Times New Roman" w:eastAsia="Times" w:hAnsi="Times New Roman" w:cs="Times New Roman"/>
          <w:b/>
          <w:noProof/>
          <w:sz w:val="24"/>
          <w:szCs w:val="24"/>
          <w:lang w:val="sq-AL"/>
        </w:rPr>
        <w:t xml:space="preserve"> </w:t>
      </w:r>
    </w:p>
    <w:p w:rsidR="00221487" w:rsidRPr="00221487" w:rsidRDefault="00221487" w:rsidP="00221487">
      <w:pPr>
        <w:spacing w:after="0" w:line="240" w:lineRule="auto"/>
        <w:jc w:val="both"/>
        <w:rPr>
          <w:rFonts w:ascii="Times New Roman" w:eastAsia="Times" w:hAnsi="Times New Roman" w:cs="Times New Roman"/>
          <w:b/>
          <w:noProof/>
          <w:sz w:val="24"/>
          <w:szCs w:val="24"/>
          <w:lang w:val="sq-AL"/>
        </w:rPr>
      </w:pP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Objektivi për forcimin e procesit të PBA-së është përmirësuar dukshëm. Drejtoria e Buxhetit, e mbështetur nga AT MFP </w:t>
      </w:r>
      <w:r w:rsidRPr="00221487">
        <w:rPr>
          <w:rFonts w:ascii="Times New Roman" w:eastAsia="Times" w:hAnsi="Times New Roman" w:cs="Times New Roman"/>
          <w:b/>
          <w:noProof/>
          <w:sz w:val="24"/>
          <w:szCs w:val="24"/>
          <w:lang w:val="sq-AL"/>
        </w:rPr>
        <w:t>(</w:t>
      </w:r>
      <w:r w:rsidRPr="00221487">
        <w:rPr>
          <w:rFonts w:ascii="Times New Roman" w:eastAsia="Times" w:hAnsi="Times New Roman" w:cs="Times New Roman"/>
          <w:noProof/>
          <w:sz w:val="24"/>
          <w:szCs w:val="24"/>
          <w:lang w:val="sq-AL"/>
        </w:rPr>
        <w:t>K3 ‘</w:t>
      </w:r>
      <w:r w:rsidRPr="00221487">
        <w:rPr>
          <w:rFonts w:ascii="Times New Roman" w:eastAsia="Times" w:hAnsi="Times New Roman" w:cs="Times New Roman"/>
          <w:i/>
          <w:noProof/>
          <w:sz w:val="24"/>
          <w:szCs w:val="24"/>
          <w:lang w:val="sq-AL"/>
        </w:rPr>
        <w:t xml:space="preserve">Ligji vjetor për buxhetin dhe PBA) </w:t>
      </w:r>
      <w:r w:rsidRPr="00221487">
        <w:rPr>
          <w:rFonts w:ascii="Times New Roman" w:eastAsia="Times" w:hAnsi="Times New Roman" w:cs="Times New Roman"/>
          <w:noProof/>
          <w:sz w:val="24"/>
          <w:szCs w:val="24"/>
          <w:lang w:val="sq-AL"/>
        </w:rPr>
        <w:t xml:space="preserve">realizon </w:t>
      </w:r>
      <w:r w:rsidRPr="00221487">
        <w:rPr>
          <w:rFonts w:ascii="Times New Roman" w:eastAsia="Times" w:hAnsi="Times New Roman" w:cs="Times New Roman"/>
          <w:b/>
          <w:noProof/>
          <w:sz w:val="24"/>
          <w:szCs w:val="24"/>
          <w:lang w:val="sq-AL"/>
        </w:rPr>
        <w:t>procesin e rishikimit të metodologjisë së PBA</w:t>
      </w:r>
      <w:r w:rsidRPr="00221487">
        <w:rPr>
          <w:rFonts w:ascii="Times New Roman" w:eastAsia="Times" w:hAnsi="Times New Roman" w:cs="Times New Roman"/>
          <w:noProof/>
          <w:sz w:val="24"/>
          <w:szCs w:val="24"/>
          <w:lang w:val="sq-AL"/>
        </w:rPr>
        <w:t>-së. Nuk ka ndryshime radikale nga procesi i mëparshëm për përgatitjen e buxhetit, por është bërë një unifikim me tendencat më të fundit metodologjike të MFP-së.</w:t>
      </w:r>
      <w:r w:rsidRPr="00221487">
        <w:rPr>
          <w:rFonts w:ascii="Times New Roman" w:eastAsia="Times" w:hAnsi="Times New Roman" w:cs="Times New Roman"/>
          <w:b/>
          <w:noProof/>
          <w:sz w:val="24"/>
          <w:szCs w:val="24"/>
          <w:lang w:val="sq-AL"/>
        </w:rPr>
        <w:t xml:space="preserve"> </w:t>
      </w:r>
      <w:r w:rsidRPr="00221487">
        <w:rPr>
          <w:rFonts w:ascii="Times New Roman" w:eastAsia="Times" w:hAnsi="Times New Roman" w:cs="Times New Roman"/>
          <w:noProof/>
          <w:sz w:val="24"/>
          <w:szCs w:val="24"/>
          <w:lang w:val="sq-AL"/>
        </w:rPr>
        <w:t xml:space="preserve">Ky rezultoi të ishte një vendim i mirë nga niveli drejtues pasi ka rezultuar në përmirësime te zyrtarët e MFE-së, të cilët kanë edhe një nivel të konsiderueshëm të pronësisë. </w:t>
      </w:r>
    </w:p>
    <w:p w:rsidR="00221487" w:rsidRPr="00221487" w:rsidRDefault="00221487" w:rsidP="00221487">
      <w:pPr>
        <w:spacing w:after="0" w:line="240" w:lineRule="auto"/>
        <w:jc w:val="both"/>
        <w:rPr>
          <w:rFonts w:ascii="Times New Roman" w:eastAsia="Times" w:hAnsi="Times New Roman" w:cs="Times New Roman"/>
          <w:noProof/>
          <w:sz w:val="24"/>
          <w:szCs w:val="24"/>
          <w:highlight w:val="yellow"/>
          <w:lang w:val="sq-AL"/>
        </w:rPr>
      </w:pPr>
      <w:r w:rsidRPr="00221487">
        <w:rPr>
          <w:rFonts w:ascii="Times New Roman" w:eastAsia="Times" w:hAnsi="Times New Roman" w:cs="Times New Roman"/>
          <w:noProof/>
          <w:sz w:val="24"/>
          <w:szCs w:val="24"/>
          <w:lang w:val="sq-AL"/>
        </w:rPr>
        <w:t xml:space="preserve">Udhëzimi i ri përmban: </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w:t>
      </w:r>
      <w:r w:rsidRPr="00221487">
        <w:rPr>
          <w:rFonts w:ascii="Times New Roman" w:eastAsia="Times" w:hAnsi="Times New Roman" w:cs="Times New Roman"/>
          <w:noProof/>
          <w:sz w:val="24"/>
          <w:szCs w:val="24"/>
          <w:lang w:val="sq-AL"/>
        </w:rPr>
        <w:tab/>
        <w:t xml:space="preserve">Një ndarje të qartë midis politikave ekzistuese nga politikat e reja, nga pikëpamja buxhetore, në të njëjtën kohë duke garantuar financimin prioritar për kostot e nevojshme të politikave ekzistuese; </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lastRenderedPageBreak/>
        <w:t>•</w:t>
      </w:r>
      <w:r w:rsidRPr="00221487">
        <w:rPr>
          <w:rFonts w:ascii="Times New Roman" w:eastAsia="Times" w:hAnsi="Times New Roman" w:cs="Times New Roman"/>
          <w:noProof/>
          <w:sz w:val="24"/>
          <w:szCs w:val="24"/>
          <w:lang w:val="sq-AL"/>
        </w:rPr>
        <w:tab/>
        <w:t xml:space="preserve">Politikat e reja do të financohen plotësisht nga hapësira fiskale, që rezulton nga kuadri makro-ekonomik dhe fiskal si dhe nga kursimet nga efikasiteti i lartë dhe përfundimi i projekteve ekzistuese të investimeve publike; </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w:t>
      </w:r>
      <w:r w:rsidRPr="00221487">
        <w:rPr>
          <w:rFonts w:ascii="Times New Roman" w:eastAsia="Times" w:hAnsi="Times New Roman" w:cs="Times New Roman"/>
          <w:noProof/>
          <w:sz w:val="24"/>
          <w:szCs w:val="24"/>
          <w:lang w:val="sq-AL"/>
        </w:rPr>
        <w:tab/>
        <w:t xml:space="preserve">Krijimi i një baze të qëndrueshme për zbatimin e tavaneve buxhetore që i janë dedikuar politikave ekzistuese në favor në politikave të reja; </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w:t>
      </w:r>
      <w:r w:rsidRPr="00221487">
        <w:rPr>
          <w:rFonts w:ascii="Times New Roman" w:eastAsia="Times" w:hAnsi="Times New Roman" w:cs="Times New Roman"/>
          <w:noProof/>
          <w:sz w:val="24"/>
          <w:szCs w:val="24"/>
          <w:lang w:val="sq-AL"/>
        </w:rPr>
        <w:tab/>
        <w:t xml:space="preserve">Ndarje e qartë midis fazës së parë (strategjike) të përgatitjes së buxhetit dhe fazës së dytë (teknike) me qëllim që tavanet buxhetore të fazës së parë të jenë “të forta”. Secila prej fazave të përgatitjes buxhetore ka objektiva dhe funksione të ndryshme: </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w:t>
      </w:r>
      <w:r w:rsidRPr="00221487">
        <w:rPr>
          <w:rFonts w:ascii="Times New Roman" w:eastAsia="Times" w:hAnsi="Times New Roman" w:cs="Times New Roman"/>
          <w:noProof/>
          <w:sz w:val="24"/>
          <w:szCs w:val="24"/>
          <w:lang w:val="sq-AL"/>
        </w:rPr>
        <w:tab/>
        <w:t xml:space="preserve">Faza strategjike: lidh kostot e politikave ekzistuese/të reja me prioritetet strategjike të qeverisë; </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w:t>
      </w:r>
      <w:r w:rsidRPr="00221487">
        <w:rPr>
          <w:rFonts w:ascii="Times New Roman" w:eastAsia="Times" w:hAnsi="Times New Roman" w:cs="Times New Roman"/>
          <w:noProof/>
          <w:sz w:val="24"/>
          <w:szCs w:val="24"/>
          <w:lang w:val="sq-AL"/>
        </w:rPr>
        <w:tab/>
        <w:t>Faza teknike: zbaton anën teknike të vendimmarrjes së fazës strategjike;</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w:t>
      </w:r>
      <w:r w:rsidRPr="00221487">
        <w:rPr>
          <w:rFonts w:ascii="Times New Roman" w:eastAsia="Times" w:hAnsi="Times New Roman" w:cs="Times New Roman"/>
          <w:noProof/>
          <w:sz w:val="24"/>
          <w:szCs w:val="24"/>
          <w:lang w:val="sq-AL"/>
        </w:rPr>
        <w:tab/>
        <w:t xml:space="preserve">Koncepti i Dokumentit të Politikave Prioritare paraqitet si një dokument që përgatit Këshilli i Ministrave, i cili udhëheq procesin e hartimit të tavaneve dhe alokimit të hapësirës fiskale sipas prioriteteve qeveritare; </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w:t>
      </w:r>
      <w:r w:rsidRPr="00221487">
        <w:rPr>
          <w:rFonts w:ascii="Times New Roman" w:eastAsia="Times" w:hAnsi="Times New Roman" w:cs="Times New Roman"/>
          <w:noProof/>
          <w:sz w:val="24"/>
          <w:szCs w:val="24"/>
          <w:lang w:val="sq-AL"/>
        </w:rPr>
        <w:tab/>
        <w:t xml:space="preserve">Lidhje e qartë e strategjive sektoriale dhe ndërsektoriale me PBA-në (ndërveprimi në nivel të Qëllimit të Politikës dhe Objektivit Specifik të synuar). Specifikim i qartë i Treguesve Kyç të Performancës në nivel qëllimi (impakti) dhe  objektivave (rezultateve), (Pasaporta e TKP-ve). </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w:t>
      </w:r>
      <w:r w:rsidRPr="00221487">
        <w:rPr>
          <w:rFonts w:ascii="Times New Roman" w:eastAsia="Times" w:hAnsi="Times New Roman" w:cs="Times New Roman"/>
          <w:noProof/>
          <w:sz w:val="24"/>
          <w:szCs w:val="24"/>
          <w:lang w:val="sq-AL"/>
        </w:rPr>
        <w:tab/>
        <w:t xml:space="preserve">Buxhetimi i investimeve publike do të ndjekë të njëjtat parime metodologjike si të politikave ekzistuese dhe të reja. Sipas metodologjisë së re, ministritë dhe institucionet buxhetore nuk lejohet që të krijojnë “hapësira fiskale artificiale” për projektet e investimeve publike, duke shtyrë kohëzgjatjen e projekteve aktuale të investimeve. Të gjitha projektet e reja të investimeve publike duhet të jenë patjetër në përputhje me Dokumentin për Politikat Prioritare dhe më pas të ndjekin procedurat e përgjithshme për rishikimin dhe aprovimin e politikave të reja. </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U përgatitën dhe hynë në fuqi udhëzimet për planifikimin buxhetor, krahas trajnimeve intensive të MFE-së, ministrive të linjës dhe këshillimit të ministrive të linjës që u përzgjodhën si pilote. Gjatë muajit prill 2018, u trajnuan rreth 35 punonjës (drejtues të programeve buxhetore dhe përfaqësues së drejtorive të buxhetit/financës) për përgatitjen e PBA-së 2019-2021. </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Një program tjetër trajnimi për përgatitjen e Programit Buxhetor Afatmesëm (PBA) dhe buxhetimin me bazë gjinore u zhvillua në datat 12-13 prill. Objektivi kryesor i këtij trajnimi ishte përmirësimi i formulimit të kërkesave buxhetore për t’u fokusuar më shumë në identifikimin dhe përkufizimin e politikave/objektivave/aktiviteteve/produkteve/kostove që lidhen me barazinë gjinore dhe sociale. </w:t>
      </w:r>
    </w:p>
    <w:p w:rsidR="00221487" w:rsidRPr="00221487" w:rsidRDefault="00221487" w:rsidP="00221487">
      <w:pPr>
        <w:spacing w:after="0" w:line="240" w:lineRule="auto"/>
        <w:jc w:val="both"/>
        <w:rPr>
          <w:rFonts w:ascii="Times New Roman" w:eastAsia="Times" w:hAnsi="Times New Roman" w:cs="Times New Roman"/>
          <w:noProof/>
          <w:sz w:val="24"/>
          <w:szCs w:val="24"/>
          <w:highlight w:val="yellow"/>
          <w:lang w:val="sq-AL"/>
        </w:rPr>
      </w:pPr>
      <w:r w:rsidRPr="00221487">
        <w:rPr>
          <w:rFonts w:ascii="Times New Roman" w:eastAsia="Times" w:hAnsi="Times New Roman" w:cs="Times New Roman"/>
          <w:noProof/>
          <w:sz w:val="24"/>
          <w:szCs w:val="24"/>
          <w:lang w:val="sq-AL"/>
        </w:rPr>
        <w:t>Gjatë fazës së parë të PBA-së 2019-2021 (faza strategjike), u bë ndarja dhe identifikimi midis politikave ekzistuese dhe atyre të reja si dhe burimit përkatës të financimit. Ndërkohë, gjatë fazës së dytë (faza teknike, Institucionet Buxhetore dorëzojnë formatet përkatëse me produktet, në përputhje me tavanet buxhetore të aprovuara me Vendim të Këshillit të Ministrave në muajin korrik. Gjithashtu, në funksion të dhe në përputhje me procedurat paraprake të PBA 2019-2021, është hartuar dhe është miratuar nga Kuvendi ligji vjetor për buxhetin për vitin 2019.</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Procesi i PBA-së do të forcohet më tej me zbatimin e SIMF-së duke qenë se një nga prioritetet kryesore të SIMF-së është përmirësimi i planifikimit afatmesëm dhe procesit për përgatitjen e buxhetit si dhe forcimi i buxhetimit të programeve. </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p>
    <w:p w:rsidR="00221487" w:rsidRPr="00221487" w:rsidRDefault="00221487" w:rsidP="00221487">
      <w:pPr>
        <w:spacing w:after="0" w:line="240" w:lineRule="auto"/>
        <w:rPr>
          <w:rFonts w:ascii="Times New Roman" w:eastAsia="Times" w:hAnsi="Times New Roman" w:cs="Times New Roman"/>
          <w:noProof/>
          <w:sz w:val="24"/>
          <w:szCs w:val="24"/>
          <w:lang w:val="sq-AL"/>
        </w:rPr>
      </w:pPr>
    </w:p>
    <w:p w:rsidR="00221487" w:rsidRPr="00221487" w:rsidRDefault="00221487" w:rsidP="00221487">
      <w:pPr>
        <w:keepNext/>
        <w:numPr>
          <w:ilvl w:val="2"/>
          <w:numId w:val="0"/>
        </w:numPr>
        <w:spacing w:after="0" w:line="240" w:lineRule="auto"/>
        <w:ind w:left="1080" w:hanging="720"/>
        <w:jc w:val="both"/>
        <w:outlineLvl w:val="2"/>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Kontrollet e angazhimeve shumëvjeçare</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p>
    <w:tbl>
      <w:tblPr>
        <w:tblW w:w="0" w:type="auto"/>
        <w:tblInd w:w="108"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ook w:val="04A0" w:firstRow="1" w:lastRow="0" w:firstColumn="1" w:lastColumn="0" w:noHBand="0" w:noVBand="1"/>
      </w:tblPr>
      <w:tblGrid>
        <w:gridCol w:w="1890"/>
        <w:gridCol w:w="1890"/>
        <w:gridCol w:w="552"/>
        <w:gridCol w:w="1890"/>
        <w:gridCol w:w="3115"/>
      </w:tblGrid>
      <w:tr w:rsidR="00221487" w:rsidRPr="005B32A4" w:rsidTr="004342D7">
        <w:tc>
          <w:tcPr>
            <w:tcW w:w="9337" w:type="dxa"/>
            <w:gridSpan w:val="5"/>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t>Objektivi 4</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New Roman" w:hAnsi="Times New Roman" w:cs="Times New Roman"/>
                <w:noProof/>
                <w:sz w:val="24"/>
                <w:szCs w:val="24"/>
                <w:lang w:val="sq-AL"/>
              </w:rPr>
              <w:lastRenderedPageBreak/>
              <w:t>Angazhimet financiare afatmesme kontrollohen plotësisht brenda kufijve të caktuar nga qeveria dhe parlamenti nëpërmjet buxhetit dhe ligjeve, rregulloreve dhe udhëzimeve përkatëse</w:t>
            </w:r>
            <w:r w:rsidRPr="00221487">
              <w:rPr>
                <w:rFonts w:ascii="Times New Roman" w:eastAsia="Times" w:hAnsi="Times New Roman" w:cs="Times New Roman"/>
                <w:noProof/>
                <w:sz w:val="24"/>
                <w:szCs w:val="24"/>
                <w:lang w:val="sq-AL"/>
              </w:rPr>
              <w:t>.</w:t>
            </w:r>
          </w:p>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t>Treguesi i rezultatit 1</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Shuma e angazhuar për projektet shumëvjeçare për çdo vit që tejkalon buxhetet e aprovuara për këto projekte është e barabartë me zero. </w:t>
            </w:r>
          </w:p>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t>Vlera e treguesit</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New Roman" w:hAnsi="Times New Roman" w:cs="Times New Roman"/>
                <w:noProof/>
                <w:sz w:val="24"/>
                <w:szCs w:val="24"/>
                <w:lang w:val="sq-AL"/>
              </w:rPr>
              <w:t>Treguesi për vitin 2018 u përmbush</w:t>
            </w:r>
            <w:r w:rsidRPr="00221487">
              <w:rPr>
                <w:rFonts w:ascii="Times New Roman" w:eastAsia="Times New Roman" w:hAnsi="Times New Roman" w:cs="Times New Roman"/>
                <w:b/>
                <w:noProof/>
                <w:sz w:val="24"/>
                <w:szCs w:val="24"/>
                <w:lang w:val="sq-AL"/>
              </w:rPr>
              <w:t>,</w:t>
            </w:r>
            <w:r w:rsidRPr="00221487">
              <w:rPr>
                <w:rFonts w:ascii="Times New Roman" w:eastAsia="Times New Roman" w:hAnsi="Times New Roman" w:cs="Times New Roman"/>
                <w:noProof/>
                <w:sz w:val="24"/>
                <w:szCs w:val="24"/>
                <w:lang w:val="sq-AL"/>
              </w:rPr>
              <w:t xml:space="preserve"> pasi është përmirësuar krahasuar me vitin 2017, pasi diferenca midis buxhetit të angazhuar për projektet shumëvjeçare dhe shumës totale të lëvruar për këto projekte ka vijuar me rënie gjatë vitit 2018.  </w:t>
            </w:r>
          </w:p>
        </w:tc>
      </w:tr>
      <w:tr w:rsidR="00221487" w:rsidRPr="00221487" w:rsidTr="004342D7">
        <w:trPr>
          <w:trHeight w:val="261"/>
        </w:trPr>
        <w:tc>
          <w:tcPr>
            <w:tcW w:w="1890" w:type="dxa"/>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lastRenderedPageBreak/>
              <w:t>Vlera bazë (2015)</w:t>
            </w:r>
          </w:p>
        </w:tc>
        <w:tc>
          <w:tcPr>
            <w:tcW w:w="2442" w:type="dxa"/>
            <w:gridSpan w:val="2"/>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2018</w:t>
            </w:r>
          </w:p>
        </w:tc>
        <w:tc>
          <w:tcPr>
            <w:tcW w:w="5005" w:type="dxa"/>
            <w:gridSpan w:val="2"/>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color w:val="000000" w:themeColor="text1"/>
                <w:sz w:val="24"/>
                <w:szCs w:val="24"/>
                <w:lang w:val="sq-AL"/>
              </w:rPr>
            </w:pPr>
            <w:r w:rsidRPr="00221487">
              <w:rPr>
                <w:rFonts w:ascii="Times New Roman" w:eastAsia="Times" w:hAnsi="Times New Roman" w:cs="Times New Roman"/>
                <w:noProof/>
                <w:color w:val="000000" w:themeColor="text1"/>
                <w:sz w:val="24"/>
                <w:szCs w:val="24"/>
                <w:lang w:val="sq-AL"/>
              </w:rPr>
              <w:t>Synimi 2020</w:t>
            </w:r>
          </w:p>
        </w:tc>
      </w:tr>
      <w:tr w:rsidR="00221487" w:rsidRPr="00221487" w:rsidTr="004342D7">
        <w:trPr>
          <w:trHeight w:val="198"/>
        </w:trPr>
        <w:tc>
          <w:tcPr>
            <w:tcW w:w="1890" w:type="dxa"/>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New Roman" w:hAnsi="Times New Roman" w:cs="Times New Roman"/>
                <w:noProof/>
                <w:sz w:val="24"/>
                <w:szCs w:val="24"/>
                <w:lang w:val="sq-AL"/>
              </w:rPr>
              <w:t>967 milion LEK</w:t>
            </w:r>
          </w:p>
        </w:tc>
        <w:tc>
          <w:tcPr>
            <w:tcW w:w="2442" w:type="dxa"/>
            <w:gridSpan w:val="2"/>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 448 milion LEK</w:t>
            </w:r>
          </w:p>
        </w:tc>
        <w:tc>
          <w:tcPr>
            <w:tcW w:w="5005" w:type="dxa"/>
            <w:gridSpan w:val="2"/>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 Tendencë në rënie</w:t>
            </w:r>
          </w:p>
        </w:tc>
      </w:tr>
      <w:tr w:rsidR="00221487" w:rsidRPr="005B32A4" w:rsidTr="004342D7">
        <w:trPr>
          <w:trHeight w:val="1019"/>
        </w:trPr>
        <w:tc>
          <w:tcPr>
            <w:tcW w:w="9337" w:type="dxa"/>
            <w:gridSpan w:val="5"/>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t>Treguesi i rezultatit 2</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Për të gjitha IB-të online, të gjitha projektet madhore janë para-angazhuar në sistem bazuar në programin e parashikimit të disbursimeve, të aprovuara gjatë procesit buxhetor, para se të fillojë prokurimi. </w:t>
            </w:r>
          </w:p>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t>Vlera e treguesit*</w:t>
            </w:r>
          </w:p>
          <w:p w:rsidR="00221487" w:rsidRPr="00221487" w:rsidRDefault="00221487" w:rsidP="00221487">
            <w:pPr>
              <w:spacing w:after="0" w:line="240" w:lineRule="auto"/>
              <w:jc w:val="both"/>
              <w:rPr>
                <w:rFonts w:ascii="Times New Roman" w:eastAsia="Times" w:hAnsi="Times New Roman" w:cs="Times New Roman"/>
                <w:noProof/>
                <w:sz w:val="24"/>
                <w:szCs w:val="24"/>
                <w:highlight w:val="yellow"/>
                <w:lang w:val="sq-AL"/>
              </w:rPr>
            </w:pPr>
            <w:r w:rsidRPr="00221487">
              <w:rPr>
                <w:rFonts w:ascii="Times New Roman" w:eastAsia="Times New Roman" w:hAnsi="Times New Roman" w:cs="Times New Roman"/>
                <w:noProof/>
                <w:sz w:val="24"/>
                <w:szCs w:val="24"/>
                <w:lang w:val="sq-AL"/>
              </w:rPr>
              <w:t xml:space="preserve">Për vlerën e treguesit </w:t>
            </w:r>
            <w:r w:rsidRPr="00221487">
              <w:rPr>
                <w:rFonts w:ascii="Times New Roman" w:eastAsia="Times New Roman" w:hAnsi="Times New Roman" w:cs="Times New Roman"/>
                <w:b/>
                <w:noProof/>
                <w:sz w:val="24"/>
                <w:szCs w:val="24"/>
                <w:lang w:val="sq-AL"/>
              </w:rPr>
              <w:t>nuk ka të dhëna.</w:t>
            </w:r>
            <w:r w:rsidRPr="00221487">
              <w:rPr>
                <w:rFonts w:ascii="Times New Roman" w:eastAsia="Times New Roman" w:hAnsi="Times New Roman" w:cs="Times New Roman"/>
                <w:noProof/>
                <w:sz w:val="24"/>
                <w:szCs w:val="24"/>
                <w:lang w:val="sq-AL"/>
              </w:rPr>
              <w:t xml:space="preserve"> Për këtë tregues nuk kishte të dhëna në gjendje pasi sistemet e SIFQ dhe PPA nuk janë integruar ende për të garantuar se fondet janë para-angazhuar në Sistemin e Thesarit (bazuar në programin e disbursimeve të para-caktuara) para se të fillojë procesi i prokurimit. </w:t>
            </w:r>
          </w:p>
        </w:tc>
      </w:tr>
      <w:tr w:rsidR="00221487" w:rsidRPr="00221487" w:rsidTr="004342D7">
        <w:trPr>
          <w:cantSplit/>
          <w:trHeight w:val="297"/>
        </w:trPr>
        <w:tc>
          <w:tcPr>
            <w:tcW w:w="1890" w:type="dxa"/>
            <w:shd w:val="clear" w:color="auto" w:fill="D9D9D9" w:themeFill="background1" w:themeFillShade="D9"/>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w:hAnsi="Times New Roman" w:cs="Times New Roman"/>
                <w:noProof/>
                <w:sz w:val="24"/>
                <w:szCs w:val="24"/>
                <w:lang w:val="sq-AL"/>
              </w:rPr>
              <w:t>V</w:t>
            </w:r>
            <w:r w:rsidR="00F77001">
              <w:rPr>
                <w:rFonts w:ascii="Times New Roman" w:eastAsia="Times" w:hAnsi="Times New Roman" w:cs="Times New Roman"/>
                <w:noProof/>
                <w:sz w:val="24"/>
                <w:szCs w:val="24"/>
                <w:lang w:val="sq-AL"/>
              </w:rPr>
              <w:t>lera</w:t>
            </w:r>
            <w:r w:rsidRPr="00221487">
              <w:rPr>
                <w:rFonts w:ascii="Times New Roman" w:eastAsia="Times" w:hAnsi="Times New Roman" w:cs="Times New Roman"/>
                <w:noProof/>
                <w:sz w:val="24"/>
                <w:szCs w:val="24"/>
                <w:lang w:val="sq-AL"/>
              </w:rPr>
              <w:t xml:space="preserve"> bazë (2016)</w:t>
            </w:r>
          </w:p>
        </w:tc>
        <w:tc>
          <w:tcPr>
            <w:tcW w:w="1890" w:type="dxa"/>
            <w:shd w:val="clear" w:color="auto" w:fill="D9D9D9" w:themeFill="background1" w:themeFillShade="D9"/>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w:hAnsi="Times New Roman" w:cs="Times New Roman"/>
                <w:noProof/>
                <w:sz w:val="24"/>
                <w:szCs w:val="24"/>
                <w:lang w:val="sq-AL"/>
              </w:rPr>
              <w:t>2016</w:t>
            </w:r>
          </w:p>
        </w:tc>
        <w:tc>
          <w:tcPr>
            <w:tcW w:w="2442" w:type="dxa"/>
            <w:gridSpan w:val="2"/>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2018</w:t>
            </w:r>
          </w:p>
        </w:tc>
        <w:tc>
          <w:tcPr>
            <w:tcW w:w="3115" w:type="dxa"/>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color w:val="000000" w:themeColor="text1"/>
                <w:sz w:val="24"/>
                <w:szCs w:val="24"/>
                <w:lang w:val="sq-AL"/>
              </w:rPr>
            </w:pPr>
            <w:r w:rsidRPr="00221487">
              <w:rPr>
                <w:rFonts w:ascii="Times New Roman" w:eastAsia="Times" w:hAnsi="Times New Roman" w:cs="Times New Roman"/>
                <w:noProof/>
                <w:color w:val="000000" w:themeColor="text1"/>
                <w:sz w:val="24"/>
                <w:szCs w:val="24"/>
                <w:lang w:val="sq-AL"/>
              </w:rPr>
              <w:t>Synimi për 2020</w:t>
            </w:r>
          </w:p>
        </w:tc>
      </w:tr>
      <w:tr w:rsidR="00221487" w:rsidRPr="00221487" w:rsidTr="004342D7">
        <w:trPr>
          <w:cantSplit/>
          <w:trHeight w:val="153"/>
        </w:trPr>
        <w:tc>
          <w:tcPr>
            <w:tcW w:w="1890" w:type="dxa"/>
            <w:shd w:val="clear" w:color="auto" w:fill="D9D9D9" w:themeFill="background1" w:themeFillShade="D9"/>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NA</w:t>
            </w:r>
          </w:p>
        </w:tc>
        <w:tc>
          <w:tcPr>
            <w:tcW w:w="1890" w:type="dxa"/>
            <w:shd w:val="clear" w:color="auto" w:fill="D9D9D9" w:themeFill="background1" w:themeFillShade="D9"/>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NA</w:t>
            </w:r>
          </w:p>
        </w:tc>
        <w:tc>
          <w:tcPr>
            <w:tcW w:w="5557" w:type="dxa"/>
            <w:gridSpan w:val="3"/>
            <w:shd w:val="clear" w:color="auto" w:fill="D9D9D9" w:themeFill="background1" w:themeFillShade="D9"/>
          </w:tcPr>
          <w:p w:rsidR="00221487" w:rsidRPr="00221487" w:rsidRDefault="00221487" w:rsidP="00221487">
            <w:pPr>
              <w:tabs>
                <w:tab w:val="left" w:pos="3270"/>
              </w:tabs>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NA</w:t>
            </w:r>
            <w:r w:rsidRPr="00221487">
              <w:rPr>
                <w:rFonts w:ascii="Times New Roman" w:eastAsia="Times" w:hAnsi="Times New Roman" w:cs="Times New Roman"/>
                <w:noProof/>
                <w:sz w:val="24"/>
                <w:szCs w:val="24"/>
                <w:lang w:val="sq-AL"/>
              </w:rPr>
              <w:tab/>
              <w:t xml:space="preserve"> 100%</w:t>
            </w:r>
          </w:p>
        </w:tc>
      </w:tr>
      <w:tr w:rsidR="00221487" w:rsidRPr="005B32A4" w:rsidTr="004342D7">
        <w:trPr>
          <w:trHeight w:val="1523"/>
        </w:trPr>
        <w:tc>
          <w:tcPr>
            <w:tcW w:w="9337" w:type="dxa"/>
            <w:gridSpan w:val="5"/>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t>Treguesi i rezultatit 3</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Nuk janë regjistruar pagesa të detyrimeve të prapambetura për projektet e investimeve kapitale shumëvjeçare,  tre vjet pasi janë futur kontrollet e angazhimeve. </w:t>
            </w:r>
          </w:p>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t xml:space="preserve">Treguesi </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Për këtë tregues </w:t>
            </w:r>
            <w:r w:rsidRPr="00221487">
              <w:rPr>
                <w:rFonts w:ascii="Times New Roman" w:eastAsia="Times" w:hAnsi="Times New Roman" w:cs="Times New Roman"/>
                <w:b/>
                <w:noProof/>
                <w:sz w:val="24"/>
                <w:szCs w:val="24"/>
                <w:lang w:val="sq-AL"/>
              </w:rPr>
              <w:t>nuk ka të dhëna</w:t>
            </w:r>
            <w:r w:rsidRPr="00221487">
              <w:rPr>
                <w:rFonts w:ascii="Times New Roman" w:eastAsia="Times" w:hAnsi="Times New Roman" w:cs="Times New Roman"/>
                <w:noProof/>
                <w:sz w:val="24"/>
                <w:szCs w:val="24"/>
                <w:lang w:val="sq-AL"/>
              </w:rPr>
              <w:t xml:space="preserve">, pasi ky tregues do të fillojë të matet për herë të parë në vitin 2019, që është pikërisht tre vjet pas futjes së kontrolleve të angazhimeve në SIFQ. </w:t>
            </w:r>
          </w:p>
        </w:tc>
      </w:tr>
      <w:tr w:rsidR="00221487" w:rsidRPr="00221487" w:rsidTr="004342D7">
        <w:trPr>
          <w:trHeight w:val="261"/>
        </w:trPr>
        <w:tc>
          <w:tcPr>
            <w:tcW w:w="1890" w:type="dxa"/>
            <w:shd w:val="clear" w:color="auto" w:fill="D9D9D9" w:themeFill="background1" w:themeFillShade="D9"/>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w:hAnsi="Times New Roman" w:cs="Times New Roman"/>
                <w:noProof/>
                <w:sz w:val="24"/>
                <w:szCs w:val="24"/>
                <w:lang w:val="sq-AL"/>
              </w:rPr>
              <w:t>Vlera bazë (2013)</w:t>
            </w:r>
          </w:p>
        </w:tc>
        <w:tc>
          <w:tcPr>
            <w:tcW w:w="1890" w:type="dxa"/>
            <w:shd w:val="clear" w:color="auto" w:fill="D9D9D9" w:themeFill="background1" w:themeFillShade="D9"/>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w:hAnsi="Times New Roman" w:cs="Times New Roman"/>
                <w:noProof/>
                <w:sz w:val="24"/>
                <w:szCs w:val="24"/>
                <w:lang w:val="sq-AL"/>
              </w:rPr>
              <w:t>2016</w:t>
            </w:r>
          </w:p>
        </w:tc>
        <w:tc>
          <w:tcPr>
            <w:tcW w:w="2442" w:type="dxa"/>
            <w:gridSpan w:val="2"/>
            <w:shd w:val="clear" w:color="auto" w:fill="D9D9D9" w:themeFill="background1" w:themeFillShade="D9"/>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w:hAnsi="Times New Roman" w:cs="Times New Roman"/>
                <w:noProof/>
                <w:sz w:val="24"/>
                <w:szCs w:val="24"/>
                <w:lang w:val="sq-AL"/>
              </w:rPr>
              <w:t>2018</w:t>
            </w:r>
          </w:p>
        </w:tc>
        <w:tc>
          <w:tcPr>
            <w:tcW w:w="3115" w:type="dxa"/>
            <w:shd w:val="clear" w:color="auto" w:fill="D9D9D9" w:themeFill="background1" w:themeFillShade="D9"/>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w:hAnsi="Times New Roman" w:cs="Times New Roman"/>
                <w:noProof/>
                <w:sz w:val="24"/>
                <w:szCs w:val="24"/>
                <w:lang w:val="sq-AL"/>
              </w:rPr>
              <w:t>Synimi 2020</w:t>
            </w:r>
          </w:p>
        </w:tc>
      </w:tr>
      <w:tr w:rsidR="00221487" w:rsidRPr="00221487" w:rsidTr="004342D7">
        <w:trPr>
          <w:trHeight w:val="198"/>
        </w:trPr>
        <w:tc>
          <w:tcPr>
            <w:tcW w:w="1890" w:type="dxa"/>
            <w:shd w:val="clear" w:color="auto" w:fill="D9D9D9" w:themeFill="background1" w:themeFillShade="D9"/>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w:hAnsi="Times New Roman" w:cs="Times New Roman"/>
                <w:noProof/>
                <w:sz w:val="24"/>
                <w:szCs w:val="24"/>
                <w:lang w:val="sq-AL"/>
              </w:rPr>
              <w:t>NA</w:t>
            </w:r>
          </w:p>
        </w:tc>
        <w:tc>
          <w:tcPr>
            <w:tcW w:w="1890" w:type="dxa"/>
            <w:shd w:val="clear" w:color="auto" w:fill="D9D9D9" w:themeFill="background1" w:themeFillShade="D9"/>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w:hAnsi="Times New Roman" w:cs="Times New Roman"/>
                <w:noProof/>
                <w:sz w:val="24"/>
                <w:szCs w:val="24"/>
                <w:lang w:val="sq-AL"/>
              </w:rPr>
              <w:t>NA</w:t>
            </w:r>
          </w:p>
        </w:tc>
        <w:tc>
          <w:tcPr>
            <w:tcW w:w="2442" w:type="dxa"/>
            <w:gridSpan w:val="2"/>
            <w:shd w:val="clear" w:color="auto" w:fill="D9D9D9" w:themeFill="background1" w:themeFillShade="D9"/>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w:hAnsi="Times New Roman" w:cs="Times New Roman"/>
                <w:noProof/>
                <w:sz w:val="24"/>
                <w:szCs w:val="24"/>
                <w:lang w:val="sq-AL"/>
              </w:rPr>
              <w:t>NA</w:t>
            </w:r>
          </w:p>
        </w:tc>
        <w:tc>
          <w:tcPr>
            <w:tcW w:w="3115" w:type="dxa"/>
            <w:shd w:val="clear" w:color="auto" w:fill="D9D9D9" w:themeFill="background1" w:themeFillShade="D9"/>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        0</w:t>
            </w:r>
          </w:p>
        </w:tc>
      </w:tr>
      <w:tr w:rsidR="00221487" w:rsidRPr="00221487" w:rsidTr="004342D7">
        <w:trPr>
          <w:trHeight w:val="198"/>
        </w:trPr>
        <w:tc>
          <w:tcPr>
            <w:tcW w:w="9337" w:type="dxa"/>
            <w:gridSpan w:val="5"/>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sz w:val="24"/>
                <w:szCs w:val="24"/>
                <w:highlight w:val="yellow"/>
                <w:lang w:val="sq-AL"/>
              </w:rPr>
            </w:pPr>
            <w:r w:rsidRPr="00221487">
              <w:rPr>
                <w:rFonts w:ascii="Times New Roman" w:eastAsia="Times" w:hAnsi="Times New Roman" w:cs="Times New Roman"/>
                <w:noProof/>
                <w:sz w:val="24"/>
                <w:szCs w:val="24"/>
                <w:lang w:val="sq-AL"/>
              </w:rPr>
              <w:t xml:space="preserve">*Vlera bazë i treguesit dhe vlerat për objektivat e ardhshëm nuk mund të përcaktoheshin pa integruar PPA-në në SIFQ. </w:t>
            </w:r>
          </w:p>
        </w:tc>
      </w:tr>
    </w:tbl>
    <w:p w:rsidR="00221487" w:rsidRPr="00221487" w:rsidRDefault="00221487" w:rsidP="00221487">
      <w:pPr>
        <w:spacing w:after="0" w:line="240" w:lineRule="auto"/>
        <w:jc w:val="center"/>
        <w:rPr>
          <w:rFonts w:ascii="Times New Roman" w:eastAsia="Times" w:hAnsi="Times New Roman" w:cs="Times New Roman"/>
          <w:b/>
          <w:noProof/>
          <w:sz w:val="24"/>
          <w:szCs w:val="24"/>
          <w:highlight w:val="yellow"/>
          <w:lang w:val="sq-AL"/>
        </w:rPr>
      </w:pPr>
    </w:p>
    <w:p w:rsidR="00221487" w:rsidRPr="00221487" w:rsidRDefault="00221487" w:rsidP="00221487">
      <w:pPr>
        <w:spacing w:after="0" w:line="240" w:lineRule="auto"/>
        <w:jc w:val="both"/>
        <w:rPr>
          <w:rFonts w:ascii="Times New Roman" w:eastAsia="Times" w:hAnsi="Times New Roman" w:cs="Times New Roman"/>
          <w:b/>
          <w:noProof/>
          <w:sz w:val="24"/>
          <w:szCs w:val="24"/>
          <w:lang w:val="sq-AL"/>
        </w:rPr>
      </w:pPr>
      <w:r w:rsidRPr="00221487">
        <w:rPr>
          <w:rFonts w:ascii="Times New Roman" w:eastAsia="Times" w:hAnsi="Times New Roman" w:cs="Times New Roman"/>
          <w:b/>
          <w:noProof/>
          <w:sz w:val="24"/>
          <w:szCs w:val="24"/>
          <w:lang w:val="sq-AL"/>
        </w:rPr>
        <w:t xml:space="preserve">Aktivitetet në këtë komponent u plotësuan në vitin 2016, kur konfigurimi i ri i SIFQ mundësoi edhe ndarjen e angazhimeve shumëvjeçare. </w:t>
      </w:r>
    </w:p>
    <w:p w:rsidR="00221487" w:rsidRPr="00221487" w:rsidRDefault="00221487" w:rsidP="00221487">
      <w:pPr>
        <w:spacing w:after="0" w:line="240" w:lineRule="auto"/>
        <w:rPr>
          <w:rFonts w:ascii="Times New Roman" w:eastAsia="Times" w:hAnsi="Times New Roman" w:cs="Times New Roman"/>
          <w:b/>
          <w:noProof/>
          <w:sz w:val="24"/>
          <w:szCs w:val="24"/>
          <w:lang w:val="sq-AL"/>
        </w:rPr>
      </w:pPr>
    </w:p>
    <w:p w:rsidR="00221487" w:rsidRPr="00221487" w:rsidRDefault="00221487" w:rsidP="00221487">
      <w:pPr>
        <w:keepNext/>
        <w:spacing w:after="0" w:line="240" w:lineRule="auto"/>
        <w:ind w:left="1080"/>
        <w:jc w:val="both"/>
        <w:outlineLvl w:val="3"/>
        <w:rPr>
          <w:rFonts w:ascii="Times New Roman" w:eastAsia="Times" w:hAnsi="Times New Roman" w:cs="Times New Roman"/>
          <w:b/>
          <w:noProof/>
          <w:sz w:val="24"/>
          <w:szCs w:val="24"/>
          <w:lang w:val="sq-AL"/>
        </w:rPr>
      </w:pPr>
    </w:p>
    <w:p w:rsidR="00221487" w:rsidRPr="00221487" w:rsidRDefault="00221487" w:rsidP="007C6F79">
      <w:pPr>
        <w:keepNext/>
        <w:numPr>
          <w:ilvl w:val="2"/>
          <w:numId w:val="35"/>
        </w:numPr>
        <w:spacing w:after="0" w:line="240" w:lineRule="auto"/>
        <w:jc w:val="both"/>
        <w:outlineLvl w:val="2"/>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MFP në qeverisjen vendore</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p>
    <w:tbl>
      <w:tblPr>
        <w:tblW w:w="9337" w:type="dxa"/>
        <w:tblInd w:w="108"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ook w:val="04A0" w:firstRow="1" w:lastRow="0" w:firstColumn="1" w:lastColumn="0" w:noHBand="0" w:noVBand="1"/>
      </w:tblPr>
      <w:tblGrid>
        <w:gridCol w:w="1890"/>
        <w:gridCol w:w="90"/>
        <w:gridCol w:w="1800"/>
        <w:gridCol w:w="270"/>
        <w:gridCol w:w="5287"/>
      </w:tblGrid>
      <w:tr w:rsidR="00221487" w:rsidRPr="005B32A4" w:rsidTr="004342D7">
        <w:tc>
          <w:tcPr>
            <w:tcW w:w="9337" w:type="dxa"/>
            <w:gridSpan w:val="5"/>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t>Objektivi 5</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Menaxhim financiari i matur, efektiv dhe efikas i qeverisjes vendore</w:t>
            </w:r>
          </w:p>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t>Treguesi i rezultatit 1</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Përmirësimi i mbledhjes dhe administrimit të taksave nga bashkitë, pas reformës së re administrative territoriale. </w:t>
            </w:r>
          </w:p>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lastRenderedPageBreak/>
              <w:t>Vlera e treguesit</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Treguesi për vitin 2018 </w:t>
            </w:r>
            <w:r w:rsidRPr="00221487">
              <w:rPr>
                <w:rFonts w:ascii="Times New Roman" w:eastAsia="Times" w:hAnsi="Times New Roman" w:cs="Times New Roman"/>
                <w:b/>
                <w:noProof/>
                <w:sz w:val="24"/>
                <w:szCs w:val="24"/>
                <w:lang w:val="sq-AL"/>
              </w:rPr>
              <w:t>u përmbush</w:t>
            </w:r>
            <w:r w:rsidRPr="00221487">
              <w:rPr>
                <w:rFonts w:ascii="Times New Roman" w:eastAsia="Times" w:hAnsi="Times New Roman" w:cs="Times New Roman"/>
                <w:noProof/>
                <w:sz w:val="24"/>
                <w:szCs w:val="24"/>
                <w:lang w:val="sq-AL"/>
              </w:rPr>
              <w:t>, pasi pati përmirësim krahasuar me vitin 2017.</w:t>
            </w:r>
            <w:r w:rsidRPr="00221487">
              <w:rPr>
                <w:rFonts w:ascii="Times New Roman" w:eastAsia="Times" w:hAnsi="Times New Roman" w:cs="Times New Roman"/>
                <w:b/>
                <w:noProof/>
                <w:sz w:val="24"/>
                <w:szCs w:val="24"/>
                <w:lang w:val="sq-AL"/>
              </w:rPr>
              <w:t xml:space="preserve"> </w:t>
            </w:r>
            <w:r w:rsidRPr="00221487">
              <w:rPr>
                <w:rFonts w:ascii="Times New Roman" w:eastAsia="Times" w:hAnsi="Times New Roman" w:cs="Times New Roman"/>
                <w:noProof/>
                <w:sz w:val="24"/>
                <w:szCs w:val="24"/>
                <w:lang w:val="sq-AL"/>
              </w:rPr>
              <w:t xml:space="preserve"> Ky tregues mat performancën e të ardhurave në nivel vendor nëpërmjet</w:t>
            </w:r>
            <w:r w:rsidRPr="00221487">
              <w:rPr>
                <w:rFonts w:ascii="Times New Roman" w:eastAsia="Times New Roman" w:hAnsi="Times New Roman" w:cs="Times New Roman"/>
                <w:noProof/>
                <w:sz w:val="24"/>
                <w:szCs w:val="24"/>
                <w:lang w:val="sq-AL"/>
              </w:rPr>
              <w:t>: (1) raportit të totalit të të ardhurave faktike vjetore të qeverisë vendore përkundrejt të ardhurave të qeverisë (R</w:t>
            </w:r>
            <w:r w:rsidRPr="00221487">
              <w:rPr>
                <w:rFonts w:ascii="Times New Roman" w:eastAsia="Times New Roman" w:hAnsi="Times New Roman" w:cs="Times New Roman"/>
                <w:noProof/>
                <w:sz w:val="24"/>
                <w:szCs w:val="24"/>
                <w:vertAlign w:val="subscript"/>
                <w:lang w:val="sq-AL"/>
              </w:rPr>
              <w:t>LGR</w:t>
            </w:r>
            <w:r w:rsidRPr="00221487">
              <w:rPr>
                <w:rFonts w:ascii="Times New Roman" w:eastAsia="Times New Roman" w:hAnsi="Times New Roman" w:cs="Times New Roman"/>
                <w:noProof/>
                <w:sz w:val="24"/>
                <w:szCs w:val="24"/>
                <w:lang w:val="sq-AL"/>
              </w:rPr>
              <w:t>) i cili u plotësua. (2) Raporti i rritjës për vitin e shkuar ishte R</w:t>
            </w:r>
            <w:r w:rsidRPr="00221487">
              <w:rPr>
                <w:rFonts w:ascii="Times New Roman" w:eastAsia="Times" w:hAnsi="Times New Roman" w:cs="Times New Roman"/>
                <w:noProof/>
                <w:sz w:val="24"/>
                <w:szCs w:val="24"/>
                <w:vertAlign w:val="subscript"/>
                <w:lang w:val="sq-AL"/>
              </w:rPr>
              <w:t>LGRG</w:t>
            </w:r>
            <w:r w:rsidRPr="00221487">
              <w:rPr>
                <w:rFonts w:ascii="Times New Roman" w:eastAsia="Times New Roman" w:hAnsi="Times New Roman" w:cs="Times New Roman"/>
                <w:noProof/>
                <w:sz w:val="24"/>
                <w:szCs w:val="24"/>
                <w:lang w:val="sq-AL"/>
              </w:rPr>
              <w:t>, i cili u përmbush.</w:t>
            </w:r>
          </w:p>
        </w:tc>
      </w:tr>
      <w:tr w:rsidR="00221487" w:rsidRPr="00221487" w:rsidTr="004342D7">
        <w:trPr>
          <w:trHeight w:val="261"/>
        </w:trPr>
        <w:tc>
          <w:tcPr>
            <w:tcW w:w="1890" w:type="dxa"/>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lastRenderedPageBreak/>
              <w:t xml:space="preserve">Vlera bazë (2015) </w:t>
            </w:r>
          </w:p>
        </w:tc>
        <w:tc>
          <w:tcPr>
            <w:tcW w:w="1890" w:type="dxa"/>
            <w:gridSpan w:val="2"/>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2018 </w:t>
            </w:r>
          </w:p>
        </w:tc>
        <w:tc>
          <w:tcPr>
            <w:tcW w:w="5557" w:type="dxa"/>
            <w:gridSpan w:val="2"/>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  Synimi 2020 </w:t>
            </w:r>
          </w:p>
        </w:tc>
      </w:tr>
      <w:tr w:rsidR="00221487" w:rsidRPr="005B32A4" w:rsidTr="004342D7">
        <w:trPr>
          <w:trHeight w:val="198"/>
        </w:trPr>
        <w:tc>
          <w:tcPr>
            <w:tcW w:w="1890" w:type="dxa"/>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R</w:t>
            </w:r>
            <w:r w:rsidRPr="00221487">
              <w:rPr>
                <w:rFonts w:ascii="Times New Roman" w:eastAsia="Times" w:hAnsi="Times New Roman" w:cs="Times New Roman"/>
                <w:noProof/>
                <w:sz w:val="24"/>
                <w:szCs w:val="24"/>
                <w:vertAlign w:val="subscript"/>
                <w:lang w:val="sq-AL"/>
              </w:rPr>
              <w:t>LGR</w:t>
            </w:r>
            <w:r w:rsidRPr="00221487">
              <w:rPr>
                <w:rFonts w:ascii="Times New Roman" w:eastAsia="Times" w:hAnsi="Times New Roman" w:cs="Times New Roman"/>
                <w:noProof/>
                <w:sz w:val="24"/>
                <w:szCs w:val="24"/>
                <w:lang w:val="sq-AL"/>
              </w:rPr>
              <w:t>=3.04%</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R</w:t>
            </w:r>
            <w:r w:rsidRPr="00221487">
              <w:rPr>
                <w:rFonts w:ascii="Times New Roman" w:eastAsia="Times" w:hAnsi="Times New Roman" w:cs="Times New Roman"/>
                <w:noProof/>
                <w:sz w:val="24"/>
                <w:szCs w:val="24"/>
                <w:vertAlign w:val="subscript"/>
                <w:lang w:val="sq-AL"/>
              </w:rPr>
              <w:t>LGRG</w:t>
            </w:r>
            <w:r w:rsidRPr="00221487">
              <w:rPr>
                <w:rFonts w:ascii="Times New Roman" w:eastAsia="Times" w:hAnsi="Times New Roman" w:cs="Times New Roman"/>
                <w:noProof/>
                <w:sz w:val="24"/>
                <w:szCs w:val="24"/>
                <w:lang w:val="sq-AL"/>
              </w:rPr>
              <w:t xml:space="preserve"> =-6%</w:t>
            </w:r>
          </w:p>
        </w:tc>
        <w:tc>
          <w:tcPr>
            <w:tcW w:w="1890" w:type="dxa"/>
            <w:gridSpan w:val="2"/>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R</w:t>
            </w:r>
            <w:r w:rsidRPr="00221487">
              <w:rPr>
                <w:rFonts w:ascii="Times New Roman" w:eastAsia="Times" w:hAnsi="Times New Roman" w:cs="Times New Roman"/>
                <w:noProof/>
                <w:sz w:val="24"/>
                <w:szCs w:val="24"/>
                <w:vertAlign w:val="subscript"/>
                <w:lang w:val="sq-AL"/>
              </w:rPr>
              <w:t>LGR</w:t>
            </w:r>
            <w:r w:rsidRPr="00221487">
              <w:rPr>
                <w:rFonts w:ascii="Times New Roman" w:eastAsia="Times" w:hAnsi="Times New Roman" w:cs="Times New Roman"/>
                <w:noProof/>
                <w:sz w:val="24"/>
                <w:szCs w:val="24"/>
                <w:lang w:val="sq-AL"/>
              </w:rPr>
              <w:t xml:space="preserve"> =4.8%</w:t>
            </w:r>
          </w:p>
          <w:p w:rsidR="00221487" w:rsidRPr="00221487" w:rsidRDefault="00221487" w:rsidP="00221487">
            <w:pPr>
              <w:spacing w:after="0" w:line="240" w:lineRule="auto"/>
              <w:jc w:val="both"/>
              <w:rPr>
                <w:rFonts w:ascii="Times New Roman" w:eastAsia="Times" w:hAnsi="Times New Roman" w:cs="Times New Roman"/>
                <w:b/>
                <w:noProof/>
                <w:sz w:val="24"/>
                <w:szCs w:val="24"/>
                <w:lang w:val="sq-AL"/>
              </w:rPr>
            </w:pPr>
            <w:r w:rsidRPr="00221487">
              <w:rPr>
                <w:rFonts w:ascii="Times New Roman" w:eastAsia="Times" w:hAnsi="Times New Roman" w:cs="Times New Roman"/>
                <w:noProof/>
                <w:sz w:val="24"/>
                <w:szCs w:val="24"/>
                <w:lang w:val="sq-AL"/>
              </w:rPr>
              <w:t>R</w:t>
            </w:r>
            <w:r w:rsidRPr="00221487">
              <w:rPr>
                <w:rFonts w:ascii="Times New Roman" w:eastAsia="Times" w:hAnsi="Times New Roman" w:cs="Times New Roman"/>
                <w:noProof/>
                <w:sz w:val="24"/>
                <w:szCs w:val="24"/>
                <w:vertAlign w:val="subscript"/>
                <w:lang w:val="sq-AL"/>
              </w:rPr>
              <w:t>LGRG</w:t>
            </w:r>
            <w:r w:rsidRPr="00221487">
              <w:rPr>
                <w:rFonts w:ascii="Times New Roman" w:eastAsia="Times" w:hAnsi="Times New Roman" w:cs="Times New Roman"/>
                <w:noProof/>
                <w:sz w:val="24"/>
                <w:szCs w:val="24"/>
                <w:lang w:val="sq-AL"/>
              </w:rPr>
              <w:t xml:space="preserve"> = 46.2%</w:t>
            </w:r>
          </w:p>
        </w:tc>
        <w:tc>
          <w:tcPr>
            <w:tcW w:w="5557" w:type="dxa"/>
            <w:gridSpan w:val="2"/>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Tendencë në rritje</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Tendencë në rritje</w:t>
            </w:r>
          </w:p>
        </w:tc>
      </w:tr>
      <w:tr w:rsidR="00221487" w:rsidRPr="005B32A4" w:rsidTr="004342D7">
        <w:trPr>
          <w:trHeight w:val="1019"/>
        </w:trPr>
        <w:tc>
          <w:tcPr>
            <w:tcW w:w="9337" w:type="dxa"/>
            <w:gridSpan w:val="5"/>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t>Treguesi i rezultatit 2</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Rritja e pjesës së shpenzimeve për investime në buxhetin e qeverisjes vendore kundrejt shpenzimeve (më shumë se 0%)</w:t>
            </w:r>
          </w:p>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t>Vlera e treguesit</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Treguesi për vitin 2018 </w:t>
            </w:r>
            <w:r w:rsidRPr="00221487">
              <w:rPr>
                <w:rFonts w:ascii="Times New Roman" w:eastAsia="Times" w:hAnsi="Times New Roman" w:cs="Times New Roman"/>
                <w:b/>
                <w:noProof/>
                <w:sz w:val="24"/>
                <w:szCs w:val="24"/>
                <w:lang w:val="sq-AL"/>
              </w:rPr>
              <w:t xml:space="preserve">u përmbush, </w:t>
            </w:r>
            <w:r w:rsidRPr="00221487">
              <w:rPr>
                <w:rFonts w:ascii="Times New Roman" w:eastAsia="Times" w:hAnsi="Times New Roman" w:cs="Times New Roman"/>
                <w:noProof/>
                <w:sz w:val="24"/>
                <w:szCs w:val="24"/>
                <w:lang w:val="sq-AL"/>
              </w:rPr>
              <w:t xml:space="preserve">pasi pati përmirësim krahasuar me vitin 2017. Ky tregues përfaqëson peshën mesatare të diferencës mes raportit të totalit të buxhetit faktik për investime kapitale kundrejt shpenzimeve administrative, për 61 bashkitë.  </w:t>
            </w:r>
          </w:p>
        </w:tc>
      </w:tr>
      <w:tr w:rsidR="00221487" w:rsidRPr="00221487" w:rsidTr="004342D7">
        <w:trPr>
          <w:cantSplit/>
          <w:trHeight w:val="297"/>
        </w:trPr>
        <w:tc>
          <w:tcPr>
            <w:tcW w:w="1890" w:type="dxa"/>
            <w:shd w:val="clear" w:color="auto" w:fill="D9D9D9" w:themeFill="background1" w:themeFillShade="D9"/>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w:hAnsi="Times New Roman" w:cs="Times New Roman"/>
                <w:noProof/>
                <w:sz w:val="24"/>
                <w:szCs w:val="24"/>
                <w:lang w:val="sq-AL"/>
              </w:rPr>
              <w:t>Vlera bazë (2016)</w:t>
            </w:r>
          </w:p>
        </w:tc>
        <w:tc>
          <w:tcPr>
            <w:tcW w:w="1890" w:type="dxa"/>
            <w:gridSpan w:val="2"/>
            <w:shd w:val="clear" w:color="auto" w:fill="D9D9D9" w:themeFill="background1" w:themeFillShade="D9"/>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w:hAnsi="Times New Roman" w:cs="Times New Roman"/>
                <w:noProof/>
                <w:sz w:val="24"/>
                <w:szCs w:val="24"/>
                <w:lang w:val="sq-AL"/>
              </w:rPr>
              <w:t>2018</w:t>
            </w:r>
          </w:p>
        </w:tc>
        <w:tc>
          <w:tcPr>
            <w:tcW w:w="5557" w:type="dxa"/>
            <w:gridSpan w:val="2"/>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Synimi 2020 </w:t>
            </w:r>
          </w:p>
        </w:tc>
      </w:tr>
      <w:tr w:rsidR="00221487" w:rsidRPr="00221487" w:rsidTr="004342D7">
        <w:trPr>
          <w:cantSplit/>
          <w:trHeight w:val="153"/>
        </w:trPr>
        <w:tc>
          <w:tcPr>
            <w:tcW w:w="1890" w:type="dxa"/>
            <w:shd w:val="clear" w:color="auto" w:fill="D9D9D9" w:themeFill="background1" w:themeFillShade="D9"/>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R</w:t>
            </w:r>
            <w:r w:rsidRPr="00221487">
              <w:rPr>
                <w:rFonts w:ascii="Times New Roman" w:eastAsia="Times New Roman" w:hAnsi="Times New Roman" w:cs="Times New Roman"/>
                <w:noProof/>
                <w:sz w:val="24"/>
                <w:szCs w:val="24"/>
                <w:vertAlign w:val="subscript"/>
                <w:lang w:val="sq-AL"/>
              </w:rPr>
              <w:t>Total M</w:t>
            </w:r>
            <w:r w:rsidRPr="00221487">
              <w:rPr>
                <w:rFonts w:ascii="Times New Roman" w:eastAsia="Times New Roman" w:hAnsi="Times New Roman" w:cs="Times New Roman"/>
                <w:noProof/>
                <w:sz w:val="24"/>
                <w:szCs w:val="24"/>
                <w:lang w:val="sq-AL"/>
              </w:rPr>
              <w:t xml:space="preserve">  =-3.83%</w:t>
            </w:r>
          </w:p>
        </w:tc>
        <w:tc>
          <w:tcPr>
            <w:tcW w:w="1890" w:type="dxa"/>
            <w:gridSpan w:val="2"/>
            <w:shd w:val="clear" w:color="auto" w:fill="D9D9D9" w:themeFill="background1" w:themeFillShade="D9"/>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R</w:t>
            </w:r>
            <w:r w:rsidRPr="00221487">
              <w:rPr>
                <w:rFonts w:ascii="Times New Roman" w:eastAsia="Times New Roman" w:hAnsi="Times New Roman" w:cs="Times New Roman"/>
                <w:noProof/>
                <w:sz w:val="24"/>
                <w:szCs w:val="24"/>
                <w:vertAlign w:val="subscript"/>
                <w:lang w:val="sq-AL"/>
              </w:rPr>
              <w:t>Total M</w:t>
            </w:r>
            <w:r w:rsidRPr="00221487">
              <w:rPr>
                <w:rFonts w:ascii="Times New Roman" w:eastAsia="Times New Roman" w:hAnsi="Times New Roman" w:cs="Times New Roman"/>
                <w:noProof/>
                <w:sz w:val="24"/>
                <w:szCs w:val="24"/>
                <w:lang w:val="sq-AL"/>
              </w:rPr>
              <w:t xml:space="preserve">  = 1%</w:t>
            </w:r>
          </w:p>
        </w:tc>
        <w:tc>
          <w:tcPr>
            <w:tcW w:w="5557" w:type="dxa"/>
            <w:gridSpan w:val="2"/>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New Roman" w:hAnsi="Times New Roman" w:cs="Times New Roman"/>
                <w:noProof/>
                <w:sz w:val="24"/>
                <w:szCs w:val="24"/>
                <w:lang w:val="sq-AL"/>
              </w:rPr>
              <w:t>R</w:t>
            </w:r>
            <w:r w:rsidRPr="00221487">
              <w:rPr>
                <w:rFonts w:ascii="Times New Roman" w:eastAsia="Times New Roman" w:hAnsi="Times New Roman" w:cs="Times New Roman"/>
                <w:noProof/>
                <w:sz w:val="24"/>
                <w:szCs w:val="24"/>
                <w:vertAlign w:val="subscript"/>
                <w:lang w:val="sq-AL"/>
              </w:rPr>
              <w:t xml:space="preserve">Total M </w:t>
            </w:r>
            <w:r w:rsidRPr="00221487">
              <w:rPr>
                <w:rFonts w:ascii="Times New Roman" w:eastAsia="Times New Roman" w:hAnsi="Times New Roman" w:cs="Times New Roman"/>
                <w:noProof/>
                <w:sz w:val="24"/>
                <w:szCs w:val="24"/>
                <w:lang w:val="sq-AL"/>
              </w:rPr>
              <w:t>&gt; 0%</w:t>
            </w:r>
            <w:r w:rsidRPr="00221487">
              <w:rPr>
                <w:rFonts w:ascii="Times New Roman" w:eastAsia="Times New Roman" w:hAnsi="Times New Roman" w:cs="Times New Roman"/>
                <w:noProof/>
                <w:sz w:val="24"/>
                <w:szCs w:val="24"/>
                <w:vertAlign w:val="subscript"/>
                <w:lang w:val="sq-AL"/>
              </w:rPr>
              <w:t>.</w:t>
            </w:r>
          </w:p>
        </w:tc>
      </w:tr>
      <w:tr w:rsidR="00221487" w:rsidRPr="005B32A4" w:rsidTr="004342D7">
        <w:trPr>
          <w:trHeight w:val="1523"/>
        </w:trPr>
        <w:tc>
          <w:tcPr>
            <w:tcW w:w="9337" w:type="dxa"/>
            <w:gridSpan w:val="5"/>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t>Treguesi i rezultatit 3</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Çdo raport i auditimit të jashtëm mbi funksionimin e njësive të vetë-qeverisjes vendore duhet të vendoset në dispozicion të publikut. </w:t>
            </w:r>
          </w:p>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t>Vlera e treguesit</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Për vlerën e këtij treguesi </w:t>
            </w:r>
            <w:r w:rsidRPr="00221487">
              <w:rPr>
                <w:rFonts w:ascii="Times New Roman" w:eastAsia="Times New Roman" w:hAnsi="Times New Roman" w:cs="Times New Roman"/>
                <w:b/>
                <w:noProof/>
                <w:sz w:val="24"/>
                <w:szCs w:val="24"/>
                <w:lang w:val="sq-AL"/>
              </w:rPr>
              <w:t>nuk ka të dhëna</w:t>
            </w:r>
            <w:r w:rsidRPr="00221487">
              <w:rPr>
                <w:rFonts w:ascii="Times New Roman" w:eastAsia="Times New Roman" w:hAnsi="Times New Roman" w:cs="Times New Roman"/>
                <w:noProof/>
                <w:sz w:val="24"/>
                <w:szCs w:val="24"/>
                <w:lang w:val="sq-AL"/>
              </w:rPr>
              <w:t xml:space="preserve"> për vitin 2018. MFE-ja dhe Kontrolli i Lartë i Shtetit (KLSH-ja) kanë organizuar një numër takimesh dhe kanë hartuar udhëzimin “Për Auditimin e Jashtëm të Njësive të Vetë-Qeverisjes Vendore nga Kontrolli i Lartë i Shtetit dhe Firmat Audituese”. KLSH-ja i ka paraqitur Gjykatës Kushtetuese nenin përkatës të ligjit “Për Financimin e Njësive të Vetë-Qeverisjes Vendore”, i cili sanksionon nxjerrjen e këtij udhëzimi. </w:t>
            </w:r>
          </w:p>
        </w:tc>
      </w:tr>
      <w:tr w:rsidR="00221487" w:rsidRPr="00221487" w:rsidTr="004342D7">
        <w:trPr>
          <w:trHeight w:val="477"/>
        </w:trPr>
        <w:tc>
          <w:tcPr>
            <w:tcW w:w="1980" w:type="dxa"/>
            <w:gridSpan w:val="2"/>
            <w:shd w:val="clear" w:color="auto" w:fill="D9D9D9" w:themeFill="background1" w:themeFillShade="D9"/>
            <w:vAlign w:val="center"/>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Vlera bazë </w:t>
            </w:r>
          </w:p>
        </w:tc>
        <w:tc>
          <w:tcPr>
            <w:tcW w:w="2070" w:type="dxa"/>
            <w:gridSpan w:val="2"/>
            <w:shd w:val="clear" w:color="auto" w:fill="D9D9D9" w:themeFill="background1" w:themeFillShade="D9"/>
            <w:vAlign w:val="center"/>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2018 </w:t>
            </w:r>
          </w:p>
        </w:tc>
        <w:tc>
          <w:tcPr>
            <w:tcW w:w="5287" w:type="dxa"/>
            <w:shd w:val="clear" w:color="auto" w:fill="D9D9D9" w:themeFill="background1" w:themeFillShade="D9"/>
            <w:vAlign w:val="center"/>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         Synimi 2020</w:t>
            </w:r>
          </w:p>
        </w:tc>
      </w:tr>
      <w:tr w:rsidR="00221487" w:rsidRPr="00221487" w:rsidTr="004342D7">
        <w:trPr>
          <w:trHeight w:val="198"/>
        </w:trPr>
        <w:tc>
          <w:tcPr>
            <w:tcW w:w="1980" w:type="dxa"/>
            <w:gridSpan w:val="2"/>
            <w:shd w:val="clear" w:color="auto" w:fill="D9D9D9" w:themeFill="background1" w:themeFillShade="D9"/>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NA</w:t>
            </w:r>
          </w:p>
        </w:tc>
        <w:tc>
          <w:tcPr>
            <w:tcW w:w="2070" w:type="dxa"/>
            <w:gridSpan w:val="2"/>
            <w:shd w:val="clear" w:color="auto" w:fill="D9D9D9" w:themeFill="background1" w:themeFillShade="D9"/>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NA</w:t>
            </w:r>
          </w:p>
        </w:tc>
        <w:tc>
          <w:tcPr>
            <w:tcW w:w="5287" w:type="dxa"/>
            <w:shd w:val="clear" w:color="auto" w:fill="D9D9D9" w:themeFill="background1" w:themeFillShade="D9"/>
          </w:tcPr>
          <w:p w:rsidR="00221487" w:rsidRPr="00221487" w:rsidRDefault="00221487" w:rsidP="00221487">
            <w:pPr>
              <w:spacing w:after="0" w:line="240" w:lineRule="auto"/>
              <w:ind w:left="720"/>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      NA</w:t>
            </w:r>
          </w:p>
        </w:tc>
      </w:tr>
    </w:tbl>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p>
    <w:p w:rsidR="00221487" w:rsidRPr="00221487" w:rsidRDefault="00221487" w:rsidP="00221487">
      <w:pPr>
        <w:spacing w:after="0" w:line="240" w:lineRule="auto"/>
        <w:jc w:val="both"/>
        <w:rPr>
          <w:rFonts w:ascii="Times New Roman" w:hAnsi="Times New Roman" w:cs="Times New Roman"/>
          <w:noProof/>
          <w:sz w:val="24"/>
          <w:szCs w:val="24"/>
          <w:lang w:val="sq-AL"/>
        </w:rPr>
      </w:pPr>
    </w:p>
    <w:p w:rsidR="00221487" w:rsidRPr="00221487" w:rsidRDefault="00221487" w:rsidP="00221487">
      <w:pPr>
        <w:spacing w:after="0" w:line="240" w:lineRule="auto"/>
        <w:jc w:val="both"/>
        <w:rPr>
          <w:rFonts w:ascii="Times New Roman" w:hAnsi="Times New Roman" w:cs="Times New Roman"/>
          <w:b/>
          <w:noProof/>
          <w:sz w:val="24"/>
          <w:szCs w:val="24"/>
          <w:lang w:val="sq-AL"/>
        </w:rPr>
      </w:pPr>
      <w:r w:rsidRPr="00221487">
        <w:rPr>
          <w:rFonts w:ascii="Times New Roman" w:hAnsi="Times New Roman" w:cs="Times New Roman"/>
          <w:b/>
          <w:noProof/>
          <w:sz w:val="24"/>
          <w:szCs w:val="24"/>
          <w:lang w:val="sq-AL"/>
        </w:rPr>
        <w:t xml:space="preserve">Masa 1: Forcimi i zbatimit të ligjit për financimin e qeverisjes vendore dhe praktikave MFP </w:t>
      </w:r>
      <w:r w:rsidRPr="00221487">
        <w:rPr>
          <w:rFonts w:ascii="Times New Roman" w:hAnsi="Times New Roman" w:cs="Times New Roman"/>
          <w:b/>
          <w:i/>
          <w:noProof/>
          <w:sz w:val="24"/>
          <w:szCs w:val="24"/>
          <w:lang w:val="sq-AL"/>
        </w:rPr>
        <w:t>(në proces/ me vonesë)</w:t>
      </w:r>
    </w:p>
    <w:p w:rsidR="00221487" w:rsidRPr="00221487" w:rsidRDefault="00221487" w:rsidP="00221487">
      <w:pPr>
        <w:spacing w:after="0" w:line="240" w:lineRule="auto"/>
        <w:jc w:val="both"/>
        <w:rPr>
          <w:rFonts w:ascii="Times New Roman" w:hAnsi="Times New Roman" w:cs="Times New Roman"/>
          <w:noProof/>
          <w:sz w:val="24"/>
          <w:szCs w:val="24"/>
          <w:lang w:val="sq-AL"/>
        </w:rPr>
      </w:pPr>
      <w:r w:rsidRPr="00221487">
        <w:rPr>
          <w:rFonts w:ascii="Times New Roman" w:hAnsi="Times New Roman" w:cs="Times New Roman"/>
          <w:noProof/>
          <w:sz w:val="24"/>
          <w:szCs w:val="24"/>
          <w:lang w:val="sq-AL"/>
        </w:rPr>
        <w:t xml:space="preserve">Gjatë periudhës së parë të vitit 2018, MFE-ja përgatiti dhe aprovoi dy udhëzues të rinj për monitorimin e buxhetit të NJQV-ve dhe përgatitjen e programit të buxhetit afatmesëm, për të garantuar se procedurat dhe raportet do të jenë të unifikuara në planin afatmesëm. Në vitin 2019 do të miratohet një akt nënligjor për evidentimin dhe menaxhimin e rasteve të vështira financiare në njësitë e qeverisjes vendore. Të gjitha njësitë e qeverisjes vendore do të trajnohen për zbatimin e akteve të reja nënligjore dhe praktikave MFP. </w:t>
      </w:r>
    </w:p>
    <w:p w:rsidR="00221487" w:rsidRPr="00221487" w:rsidRDefault="00221487" w:rsidP="00221487">
      <w:pPr>
        <w:spacing w:after="0" w:line="240" w:lineRule="auto"/>
        <w:jc w:val="both"/>
        <w:rPr>
          <w:rFonts w:ascii="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Më 21, 22 dhe 26 nëntor u organizua një seminar për mbështetjen dhe mbikëqyrjen e Ministrisë së Financave dhe Ekonomisë (MFE) për Menaxhimin e Financave Publike në nivel lokal (MFP). Objektivi i seminarit ishte të çelej projekti i financuar nga SECO “Forcimi i Menaxhimit të Financave Publike në nivel vendor” si dhe përgatitja e planit të veprimit duke identifikuar dobësitë e MFP-së në nivel lokal. </w:t>
      </w:r>
      <w:r w:rsidRPr="00221487">
        <w:rPr>
          <w:rFonts w:ascii="Times New Roman" w:hAnsi="Times New Roman" w:cs="Times New Roman"/>
          <w:noProof/>
          <w:sz w:val="24"/>
          <w:szCs w:val="24"/>
          <w:lang w:val="sq-AL"/>
        </w:rPr>
        <w:t xml:space="preserve">Objektivi kryesor i projektit është të kontribuojë në forcimin e menaxhimit të financave publike në nivel vendor, në Shqipëri, për të mundësuar një disiplinë më të mirë fiskale, përdorim efikas të fondeve </w:t>
      </w:r>
      <w:r w:rsidRPr="00221487">
        <w:rPr>
          <w:rFonts w:ascii="Times New Roman" w:hAnsi="Times New Roman" w:cs="Times New Roman"/>
          <w:noProof/>
          <w:sz w:val="24"/>
          <w:szCs w:val="24"/>
          <w:lang w:val="sq-AL"/>
        </w:rPr>
        <w:lastRenderedPageBreak/>
        <w:t xml:space="preserve">publike dhe për të përmirësuar shërbimin ndaj qytetarëve. Projekti, i cili do të zgjasë pesë vjet, do të mbështesë 15 bashki pilote gjatë fazës së parë (2019-2020), dhe më pas në fazën tjetër (2021-2023) do të shtrihet në të 61 bashkitë në Shqipëri. Projekti do të asistojë gjithashtu Ministrinë e Financave dhe Ekonomisë të forcojë proceset që lidhen me MFP-në, të rrisë efikasitetin në mbledhjen e të ardhurave, formulimin, ekzekutimin dhe monitorimin e buxhetit si dhe auditimin e brendshëm dhe auditimin.  </w:t>
      </w:r>
    </w:p>
    <w:p w:rsidR="00221487" w:rsidRPr="00221487" w:rsidRDefault="00221487" w:rsidP="00221487">
      <w:pPr>
        <w:spacing w:after="0" w:line="240" w:lineRule="auto"/>
        <w:jc w:val="both"/>
        <w:rPr>
          <w:rFonts w:ascii="Times New Roman" w:hAnsi="Times New Roman" w:cs="Times New Roman"/>
          <w:noProof/>
          <w:sz w:val="24"/>
          <w:szCs w:val="24"/>
          <w:lang w:val="sq-AL"/>
        </w:rPr>
      </w:pPr>
    </w:p>
    <w:p w:rsidR="00221487" w:rsidRPr="00221487" w:rsidRDefault="00221487" w:rsidP="00221487">
      <w:pPr>
        <w:spacing w:after="0" w:line="240" w:lineRule="auto"/>
        <w:jc w:val="both"/>
        <w:rPr>
          <w:rFonts w:ascii="Times New Roman" w:hAnsi="Times New Roman" w:cs="Times New Roman"/>
          <w:noProof/>
          <w:sz w:val="24"/>
          <w:szCs w:val="24"/>
          <w:lang w:val="sq-AL"/>
        </w:rPr>
      </w:pPr>
    </w:p>
    <w:p w:rsidR="00221487" w:rsidRPr="00221487" w:rsidRDefault="00221487" w:rsidP="00221487">
      <w:pPr>
        <w:spacing w:after="0" w:line="240" w:lineRule="auto"/>
        <w:jc w:val="both"/>
        <w:rPr>
          <w:rFonts w:ascii="Times New Roman" w:hAnsi="Times New Roman" w:cs="Times New Roman"/>
          <w:b/>
          <w:noProof/>
          <w:sz w:val="24"/>
          <w:szCs w:val="24"/>
          <w:lang w:val="sq-AL"/>
        </w:rPr>
      </w:pPr>
      <w:r w:rsidRPr="00221487">
        <w:rPr>
          <w:rFonts w:ascii="Times New Roman" w:hAnsi="Times New Roman" w:cs="Times New Roman"/>
          <w:b/>
          <w:noProof/>
          <w:sz w:val="24"/>
          <w:szCs w:val="24"/>
          <w:lang w:val="sq-AL"/>
        </w:rPr>
        <w:t xml:space="preserve">Masa 2: Krijimi i një baze të dhënash për planifikimin financiar afatmesëm për qeverisjen vendore </w:t>
      </w:r>
      <w:r w:rsidRPr="00221487">
        <w:rPr>
          <w:rFonts w:ascii="Times New Roman" w:hAnsi="Times New Roman" w:cs="Times New Roman"/>
          <w:b/>
          <w:i/>
          <w:noProof/>
          <w:sz w:val="24"/>
          <w:szCs w:val="24"/>
          <w:lang w:val="sq-AL"/>
        </w:rPr>
        <w:t>(në proces/me vonesë)</w:t>
      </w:r>
    </w:p>
    <w:p w:rsidR="00221487" w:rsidRPr="00221487" w:rsidRDefault="00221487" w:rsidP="00221487">
      <w:pPr>
        <w:spacing w:after="0" w:line="240" w:lineRule="auto"/>
        <w:jc w:val="both"/>
        <w:rPr>
          <w:rFonts w:ascii="Times New Roman" w:hAnsi="Times New Roman" w:cs="Times New Roman"/>
          <w:noProof/>
          <w:sz w:val="24"/>
          <w:szCs w:val="24"/>
          <w:lang w:val="sq-AL"/>
        </w:rPr>
      </w:pPr>
      <w:r w:rsidRPr="00221487">
        <w:rPr>
          <w:rFonts w:ascii="Times New Roman" w:hAnsi="Times New Roman" w:cs="Times New Roman"/>
          <w:noProof/>
          <w:sz w:val="24"/>
          <w:szCs w:val="24"/>
          <w:lang w:val="sq-AL"/>
        </w:rPr>
        <w:t xml:space="preserve">MFE-ja në bashkëpunim të ngushtë me DLDP, në vitin 2018, përgatiti dhe aprovoi MPF-në e re për përgatitjen e PBA-së në njësitë vendore dhe manualin për Mjetin e Planifikimit Financiar. Ky mjet paraqiti formate të reja për përgatitjen dhe raportimin e PBA-së nga NJQV-të:  </w:t>
      </w:r>
      <w:r w:rsidRPr="00221487">
        <w:rPr>
          <w:rFonts w:ascii="Times New Roman" w:eastAsia="Times New Roman" w:hAnsi="Times New Roman" w:cs="Times New Roman"/>
          <w:noProof/>
          <w:sz w:val="24"/>
          <w:szCs w:val="24"/>
          <w:lang w:val="sq-AL"/>
        </w:rPr>
        <w:t xml:space="preserve">(i) me një strukturim të qartë standard raportimi; (ii) duke treguar sesi të lidhen politikat me informacionin financiar; (iii) duke vendosur theksin te informacioni që është më me vlerë për anëtarët e këshillit dhe qytetarët; (iv) duke vënë në dukje burimet përkatëse të informacionit për çdo pjesë të raportit të PBA-së; (v) duke ofruar formate të thjeshta për prezantimin e programeve; (vi) me përshkrime të sakta për secilin nga programet dhe aktivitetet dhe (vii) duke treguar si mund të përdoret PBA-ja për monitorimin dhe raportimin e zbatimit të strategjisë. Qëllimi i manualit </w:t>
      </w:r>
      <w:r w:rsidRPr="00221487">
        <w:rPr>
          <w:rFonts w:ascii="Times New Roman" w:hAnsi="Times New Roman" w:cs="Times New Roman"/>
          <w:noProof/>
          <w:sz w:val="24"/>
          <w:szCs w:val="24"/>
          <w:lang w:val="sq-AL"/>
        </w:rPr>
        <w:t xml:space="preserve">MPF është që t’iu ofrojë përdoruesve (nëpunësve të qeverisë vendore dhe aktorëve të tjerë të interesuar) një orientim gjithëpërfshirës mbi mënyrën sesi mund të MPF-në në përgatitjen e planeve buxhetore vjetore dhe afatmesme. Të gjitha njësitë vendore e përdorën këtë instrument për përgatitjen e ligjit për buxhetin 2019. Impakti i parë ishte pozitiv, sepse ndihmoi bashkitë të planifikonin në mënyrë efikase dhe efektive. Në planin afatmesëm, Ministria e Financave dhe e Ekonomisë do të monitorojë përdorimin e Mjetit për Planifikimin Financiar në njësitë vendore dhe do ta zhvillojë më tej për të përfshirë në të edhe treguesit e performancës. </w:t>
      </w:r>
    </w:p>
    <w:p w:rsidR="00221487" w:rsidRPr="00221487" w:rsidRDefault="00221487" w:rsidP="00221487">
      <w:pPr>
        <w:tabs>
          <w:tab w:val="left" w:pos="2010"/>
        </w:tabs>
        <w:spacing w:after="0" w:line="240" w:lineRule="auto"/>
        <w:jc w:val="both"/>
        <w:rPr>
          <w:rFonts w:ascii="Times New Roman" w:hAnsi="Times New Roman" w:cs="Times New Roman"/>
          <w:noProof/>
          <w:sz w:val="24"/>
          <w:szCs w:val="24"/>
          <w:lang w:val="sq-AL"/>
        </w:rPr>
      </w:pPr>
    </w:p>
    <w:p w:rsidR="00221487" w:rsidRPr="00221487" w:rsidRDefault="00221487" w:rsidP="00221487">
      <w:pPr>
        <w:spacing w:after="0" w:line="240" w:lineRule="auto"/>
        <w:jc w:val="both"/>
        <w:rPr>
          <w:rFonts w:ascii="Times New Roman" w:hAnsi="Times New Roman" w:cs="Times New Roman"/>
          <w:b/>
          <w:i/>
          <w:noProof/>
          <w:sz w:val="24"/>
          <w:szCs w:val="24"/>
          <w:lang w:val="sq-AL"/>
        </w:rPr>
      </w:pPr>
      <w:r w:rsidRPr="00221487">
        <w:rPr>
          <w:rFonts w:ascii="Times New Roman" w:hAnsi="Times New Roman" w:cs="Times New Roman"/>
          <w:b/>
          <w:noProof/>
          <w:sz w:val="24"/>
          <w:szCs w:val="24"/>
          <w:lang w:val="sq-AL"/>
        </w:rPr>
        <w:t xml:space="preserve">Masa 3: Përditësimi i portalit për financat e qeverisjes vendore </w:t>
      </w:r>
      <w:r w:rsidRPr="00221487">
        <w:rPr>
          <w:rFonts w:ascii="Times New Roman" w:hAnsi="Times New Roman" w:cs="Times New Roman"/>
          <w:b/>
          <w:i/>
          <w:noProof/>
          <w:sz w:val="24"/>
          <w:szCs w:val="24"/>
          <w:lang w:val="sq-AL"/>
        </w:rPr>
        <w:t>(në proces/sipas planit)</w:t>
      </w:r>
    </w:p>
    <w:p w:rsidR="00221487" w:rsidRPr="00221487" w:rsidRDefault="00221487" w:rsidP="00221487">
      <w:pPr>
        <w:spacing w:after="0" w:line="240" w:lineRule="auto"/>
        <w:jc w:val="both"/>
        <w:rPr>
          <w:rFonts w:ascii="Times New Roman" w:hAnsi="Times New Roman" w:cs="Times New Roman"/>
          <w:noProof/>
          <w:sz w:val="24"/>
          <w:szCs w:val="24"/>
          <w:lang w:val="sq-AL"/>
        </w:rPr>
      </w:pPr>
      <w:r w:rsidRPr="00221487">
        <w:rPr>
          <w:rFonts w:ascii="Times New Roman" w:hAnsi="Times New Roman" w:cs="Times New Roman"/>
          <w:noProof/>
          <w:sz w:val="24"/>
          <w:szCs w:val="24"/>
          <w:lang w:val="sq-AL"/>
        </w:rPr>
        <w:t>Bazuar në udhëzimin e ri për monitorimin e buxheteve vendore në vitin 2019, të gjitha njësitë e qeverisjes vendore duhet t’i dërgojnë MFE-së raportet e monitorimit për vitin 2018. Kështu që procesi do të konsolidohet gjatë vitit 2019.</w:t>
      </w:r>
    </w:p>
    <w:p w:rsidR="00221487" w:rsidRPr="00221487" w:rsidRDefault="00221487" w:rsidP="00221487">
      <w:pPr>
        <w:spacing w:after="0" w:line="240" w:lineRule="auto"/>
        <w:jc w:val="both"/>
        <w:rPr>
          <w:rFonts w:ascii="Times New Roman" w:hAnsi="Times New Roman" w:cs="Times New Roman"/>
          <w:noProof/>
          <w:sz w:val="24"/>
          <w:szCs w:val="24"/>
          <w:lang w:val="sq-AL"/>
        </w:rPr>
      </w:pPr>
    </w:p>
    <w:p w:rsidR="00221487" w:rsidRPr="00221487" w:rsidRDefault="00221487" w:rsidP="00221487">
      <w:pPr>
        <w:spacing w:after="0" w:line="240" w:lineRule="auto"/>
        <w:jc w:val="both"/>
        <w:rPr>
          <w:rFonts w:ascii="Times New Roman" w:hAnsi="Times New Roman" w:cs="Times New Roman"/>
          <w:b/>
          <w:noProof/>
          <w:sz w:val="24"/>
          <w:szCs w:val="24"/>
          <w:lang w:val="sq-AL"/>
        </w:rPr>
      </w:pPr>
      <w:r w:rsidRPr="00221487">
        <w:rPr>
          <w:rFonts w:ascii="Times New Roman" w:hAnsi="Times New Roman" w:cs="Times New Roman"/>
          <w:b/>
          <w:noProof/>
          <w:sz w:val="24"/>
          <w:szCs w:val="24"/>
          <w:lang w:val="sq-AL"/>
        </w:rPr>
        <w:t>Masa 4: Eliminimi i detyrimeve të prapambetura të fshehura dhe parandalimi i krijimit të detyrimeve të reja të prapambetura (e</w:t>
      </w:r>
      <w:r w:rsidRPr="00221487">
        <w:rPr>
          <w:rFonts w:ascii="Times New Roman" w:hAnsi="Times New Roman" w:cs="Times New Roman"/>
          <w:b/>
          <w:i/>
          <w:noProof/>
          <w:sz w:val="24"/>
          <w:szCs w:val="24"/>
          <w:lang w:val="sq-AL"/>
        </w:rPr>
        <w:t xml:space="preserve"> plotësuar)</w:t>
      </w:r>
    </w:p>
    <w:p w:rsidR="00221487" w:rsidRPr="00221487" w:rsidRDefault="00221487" w:rsidP="00221487">
      <w:pPr>
        <w:autoSpaceDE w:val="0"/>
        <w:autoSpaceDN w:val="0"/>
        <w:adjustRightInd w:val="0"/>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Masat u prezantuan për të parandaluar krijimin e detyrimeve të reja të prapambetura vendore dhe për të eleminuar ekzistueset. NJQV-të, në bashkëpunim me MFE-në dhe në zbatim të Udhëzimit nr. 2, datë 19.01.2018 “Për zbatimin e buxhetit të vitit 2018”, çdo tremujor duhet të raportojnë dhe t’i paraqesin MFE-së informacion rreth detyrimeve të prapambetura të akumuluara si dhe për shlyerjen e tyre. Bazuar në këtë informacion, MFE-ja çdo tre muaj përgatit raportin e monitorimit për detyrimet e prapambetura të qeverisë.  </w:t>
      </w:r>
    </w:p>
    <w:p w:rsidR="00221487" w:rsidRPr="00221487" w:rsidRDefault="00221487" w:rsidP="00221487">
      <w:pPr>
        <w:tabs>
          <w:tab w:val="left" w:pos="3570"/>
        </w:tabs>
        <w:autoSpaceDE w:val="0"/>
        <w:autoSpaceDN w:val="0"/>
        <w:adjustRightInd w:val="0"/>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Stoku i detyrimeve të prapambetura në fund të muajit dhjetor 2018, i cili pritet që të shlyhet në planin afatmesëm, bazuar në një plan pagesash që i është dërguar Ministrisë Financave dhe Ekonomisë nga bashkitë, është 6.8 miliard lek. Vlera neto e stokut të detyrimeve të prapambetura u ul me rreth 0.3 miliard lek krahasuar me shumën e detyrimeve të prapambetura që u raportua tremujorin e tretë të vitit 2018 dhe krahasuar me fundin e vitit 2017 vlera neto e detyrimeve të prapambetura u ul me rreth 2.4 miliard lek. </w:t>
      </w:r>
    </w:p>
    <w:p w:rsidR="00221487" w:rsidRPr="00221487" w:rsidRDefault="00221487" w:rsidP="00221487">
      <w:pPr>
        <w:spacing w:after="0" w:line="240" w:lineRule="auto"/>
        <w:jc w:val="both"/>
        <w:rPr>
          <w:rFonts w:ascii="Times New Roman" w:hAnsi="Times New Roman" w:cs="Times New Roman"/>
          <w:noProof/>
          <w:sz w:val="24"/>
          <w:szCs w:val="24"/>
          <w:lang w:val="sq-AL"/>
        </w:rPr>
      </w:pPr>
    </w:p>
    <w:p w:rsidR="00221487" w:rsidRPr="00221487" w:rsidRDefault="00221487" w:rsidP="00221487">
      <w:pPr>
        <w:spacing w:after="0" w:line="240" w:lineRule="auto"/>
        <w:jc w:val="both"/>
        <w:rPr>
          <w:rFonts w:ascii="Times New Roman" w:hAnsi="Times New Roman" w:cs="Times New Roman"/>
          <w:noProof/>
          <w:sz w:val="24"/>
          <w:szCs w:val="24"/>
          <w:lang w:val="sq-AL"/>
        </w:rPr>
      </w:pPr>
    </w:p>
    <w:p w:rsidR="00221487" w:rsidRPr="00221487" w:rsidRDefault="00221487" w:rsidP="00221487">
      <w:pPr>
        <w:keepNext/>
        <w:numPr>
          <w:ilvl w:val="2"/>
          <w:numId w:val="0"/>
        </w:numPr>
        <w:spacing w:after="0" w:line="240" w:lineRule="auto"/>
        <w:ind w:left="1170" w:hanging="720"/>
        <w:jc w:val="both"/>
        <w:outlineLvl w:val="2"/>
        <w:rPr>
          <w:rFonts w:ascii="Times New Roman" w:hAnsi="Times New Roman" w:cs="Times New Roman"/>
          <w:noProof/>
          <w:sz w:val="24"/>
          <w:szCs w:val="24"/>
          <w:lang w:val="sq-AL"/>
        </w:rPr>
      </w:pPr>
      <w:r w:rsidRPr="00221487">
        <w:rPr>
          <w:rFonts w:ascii="Times New Roman" w:hAnsi="Times New Roman" w:cs="Times New Roman"/>
          <w:noProof/>
          <w:sz w:val="24"/>
          <w:szCs w:val="24"/>
          <w:lang w:val="sq-AL"/>
        </w:rPr>
        <w:lastRenderedPageBreak/>
        <w:t>Dokumentacioni buxhetor</w:t>
      </w:r>
    </w:p>
    <w:p w:rsidR="00221487" w:rsidRPr="00221487" w:rsidRDefault="00221487" w:rsidP="00221487">
      <w:pPr>
        <w:spacing w:after="0" w:line="240" w:lineRule="auto"/>
        <w:jc w:val="both"/>
        <w:rPr>
          <w:rFonts w:ascii="Times New Roman" w:hAnsi="Times New Roman" w:cs="Times New Roman"/>
          <w:noProof/>
          <w:sz w:val="24"/>
          <w:szCs w:val="24"/>
          <w:lang w:val="sq-AL"/>
        </w:rPr>
      </w:pPr>
    </w:p>
    <w:p w:rsidR="00221487" w:rsidRPr="00221487" w:rsidRDefault="00221487" w:rsidP="00221487">
      <w:pPr>
        <w:spacing w:after="0" w:line="240" w:lineRule="auto"/>
        <w:jc w:val="both"/>
        <w:rPr>
          <w:rFonts w:ascii="Times New Roman" w:hAnsi="Times New Roman" w:cs="Times New Roman"/>
          <w:b/>
          <w:noProof/>
          <w:sz w:val="24"/>
          <w:szCs w:val="24"/>
          <w:lang w:val="sq-AL"/>
        </w:rPr>
      </w:pPr>
      <w:r w:rsidRPr="00221487">
        <w:rPr>
          <w:rFonts w:ascii="Times New Roman" w:hAnsi="Times New Roman" w:cs="Times New Roman"/>
          <w:b/>
          <w:noProof/>
          <w:sz w:val="24"/>
          <w:szCs w:val="24"/>
          <w:lang w:val="sq-AL"/>
        </w:rPr>
        <w:t xml:space="preserve">Masa 1: Përmirësimi i përmbajtjes së informacionit dhe cilësisë së buxheteve të qeverisjes vendore </w:t>
      </w:r>
      <w:r w:rsidRPr="00221487">
        <w:rPr>
          <w:rFonts w:ascii="Times New Roman" w:hAnsi="Times New Roman" w:cs="Times New Roman"/>
          <w:b/>
          <w:i/>
          <w:noProof/>
          <w:sz w:val="24"/>
          <w:szCs w:val="24"/>
          <w:lang w:val="sq-AL"/>
        </w:rPr>
        <w:t>(në proces/ me vonesë)</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Për të garantuar se procedurat dhe raportet do të jenë të unifikuara për të gjitha NJQV-të në planin afatmesëm, MFE-ja, gjatë vitit 2018, përgatiti dhe aprovoi dy udhëzime të reja:  </w:t>
      </w:r>
    </w:p>
    <w:p w:rsidR="00221487" w:rsidRPr="00221487" w:rsidRDefault="00221487" w:rsidP="00221487">
      <w:pPr>
        <w:spacing w:after="0" w:line="240" w:lineRule="auto"/>
        <w:jc w:val="both"/>
        <w:rPr>
          <w:rFonts w:ascii="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-Udhëzimi Standard Nr.</w:t>
      </w:r>
      <w:r w:rsidRPr="00221487">
        <w:rPr>
          <w:rFonts w:ascii="Times New Roman" w:hAnsi="Times New Roman" w:cs="Times New Roman"/>
          <w:noProof/>
          <w:sz w:val="24"/>
          <w:szCs w:val="24"/>
          <w:lang w:val="sq-AL"/>
        </w:rPr>
        <w:t xml:space="preserve"> 23 datë 30.07.2018 "Për Procedurat Standarde për Përgatitjen e Buxhetit Afatmesëm në njësitë e vetë-qeverisjes vendore”. </w:t>
      </w:r>
    </w:p>
    <w:p w:rsidR="00221487" w:rsidRPr="00221487" w:rsidRDefault="00221487" w:rsidP="00221487">
      <w:pPr>
        <w:spacing w:after="0" w:line="240" w:lineRule="auto"/>
        <w:jc w:val="both"/>
        <w:rPr>
          <w:rFonts w:ascii="Times New Roman" w:hAnsi="Times New Roman" w:cs="Times New Roman"/>
          <w:noProof/>
          <w:sz w:val="24"/>
          <w:szCs w:val="24"/>
          <w:lang w:val="sq-AL"/>
        </w:rPr>
      </w:pPr>
      <w:r w:rsidRPr="00221487">
        <w:rPr>
          <w:rFonts w:ascii="Times New Roman" w:hAnsi="Times New Roman" w:cs="Times New Roman"/>
          <w:noProof/>
          <w:sz w:val="24"/>
          <w:szCs w:val="24"/>
          <w:lang w:val="sq-AL"/>
        </w:rPr>
        <w:t>- Udhëzimi Standard Nr. 22 datë 30.07.2018 "Për procedurat standarde të monitorimit të buxhetit në njësitë e qeverisjes vendore"</w:t>
      </w:r>
      <w:r w:rsidRPr="00221487">
        <w:rPr>
          <w:rFonts w:ascii="Times New Roman" w:eastAsia="Times New Roman" w:hAnsi="Times New Roman" w:cs="Times New Roman"/>
          <w:noProof/>
          <w:sz w:val="24"/>
          <w:szCs w:val="24"/>
          <w:lang w:val="sq-AL"/>
        </w:rPr>
        <w:t>.</w:t>
      </w:r>
      <w:r w:rsidRPr="00221487">
        <w:rPr>
          <w:rFonts w:ascii="Times New Roman" w:hAnsi="Times New Roman" w:cs="Times New Roman"/>
          <w:noProof/>
          <w:sz w:val="24"/>
          <w:szCs w:val="24"/>
          <w:lang w:val="sq-AL"/>
        </w:rPr>
        <w:t xml:space="preserve"> </w:t>
      </w:r>
    </w:p>
    <w:p w:rsidR="00221487" w:rsidRPr="00221487" w:rsidRDefault="00221487" w:rsidP="00221487">
      <w:pPr>
        <w:spacing w:after="0" w:line="240" w:lineRule="auto"/>
        <w:jc w:val="both"/>
        <w:rPr>
          <w:rFonts w:ascii="Times New Roman" w:hAnsi="Times New Roman" w:cs="Times New Roman"/>
          <w:noProof/>
          <w:sz w:val="24"/>
          <w:szCs w:val="24"/>
          <w:highlight w:val="red"/>
          <w:lang w:val="sq-AL"/>
        </w:rPr>
      </w:pPr>
      <w:r w:rsidRPr="00221487">
        <w:rPr>
          <w:rFonts w:ascii="Times New Roman" w:hAnsi="Times New Roman" w:cs="Times New Roman"/>
          <w:noProof/>
          <w:sz w:val="24"/>
          <w:szCs w:val="24"/>
          <w:highlight w:val="red"/>
          <w:lang w:val="sq-AL"/>
        </w:rPr>
        <w:t xml:space="preserve"> </w:t>
      </w:r>
    </w:p>
    <w:p w:rsidR="00221487" w:rsidRPr="00221487" w:rsidRDefault="00221487" w:rsidP="00221487">
      <w:pPr>
        <w:spacing w:after="0" w:line="240" w:lineRule="auto"/>
        <w:jc w:val="both"/>
        <w:rPr>
          <w:rFonts w:ascii="Times New Roman" w:hAnsi="Times New Roman" w:cs="Times New Roman"/>
          <w:noProof/>
          <w:sz w:val="24"/>
          <w:szCs w:val="24"/>
          <w:lang w:val="sq-AL"/>
        </w:rPr>
      </w:pPr>
    </w:p>
    <w:p w:rsidR="00221487" w:rsidRPr="00221487" w:rsidRDefault="00221487" w:rsidP="00221487">
      <w:pPr>
        <w:keepNext/>
        <w:numPr>
          <w:ilvl w:val="1"/>
          <w:numId w:val="7"/>
        </w:numPr>
        <w:spacing w:after="0" w:line="240" w:lineRule="auto"/>
        <w:jc w:val="both"/>
        <w:outlineLvl w:val="1"/>
        <w:rPr>
          <w:rFonts w:ascii="Times New Roman" w:eastAsia="Times" w:hAnsi="Times New Roman" w:cs="Times New Roman"/>
          <w:b/>
          <w:bCs/>
          <w:noProof/>
          <w:sz w:val="24"/>
          <w:szCs w:val="24"/>
          <w:lang w:val="sq-AL"/>
        </w:rPr>
      </w:pPr>
      <w:bookmarkStart w:id="44" w:name="_Toc507758748"/>
      <w:bookmarkStart w:id="45" w:name="_Toc511836606"/>
      <w:bookmarkStart w:id="46" w:name="_Toc3984470"/>
      <w:r w:rsidRPr="00221487">
        <w:rPr>
          <w:rFonts w:ascii="Times New Roman" w:eastAsia="Times" w:hAnsi="Times New Roman" w:cs="Times New Roman"/>
          <w:b/>
          <w:bCs/>
          <w:noProof/>
          <w:sz w:val="24"/>
          <w:szCs w:val="24"/>
          <w:lang w:val="sq-AL"/>
        </w:rPr>
        <w:t xml:space="preserve">Shtylla 3- </w:t>
      </w:r>
      <w:bookmarkEnd w:id="44"/>
      <w:bookmarkEnd w:id="45"/>
      <w:bookmarkEnd w:id="46"/>
      <w:r w:rsidRPr="00221487">
        <w:rPr>
          <w:rFonts w:ascii="Times New Roman" w:eastAsia="Times" w:hAnsi="Times New Roman" w:cs="Times New Roman"/>
          <w:b/>
          <w:bCs/>
          <w:noProof/>
          <w:sz w:val="24"/>
          <w:szCs w:val="24"/>
          <w:lang w:val="sq-AL"/>
        </w:rPr>
        <w:t xml:space="preserve">Ekzekutimi efikas i buxhetit </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p>
    <w:p w:rsidR="00221487" w:rsidRPr="00221487" w:rsidRDefault="00221487" w:rsidP="00221487">
      <w:pPr>
        <w:keepNext/>
        <w:numPr>
          <w:ilvl w:val="2"/>
          <w:numId w:val="0"/>
        </w:numPr>
        <w:spacing w:after="0" w:line="240" w:lineRule="auto"/>
        <w:ind w:left="720" w:hanging="153"/>
        <w:jc w:val="both"/>
        <w:outlineLvl w:val="2"/>
        <w:rPr>
          <w:rFonts w:ascii="Times New Roman" w:eastAsia="Times New Roman" w:hAnsi="Times New Roman" w:cs="Times New Roman"/>
          <w:noProof/>
          <w:sz w:val="24"/>
          <w:szCs w:val="24"/>
          <w:lang w:val="sq-AL"/>
        </w:rPr>
      </w:pPr>
      <w:bookmarkStart w:id="47" w:name="_Toc3984182"/>
      <w:bookmarkStart w:id="48" w:name="_Toc3984471"/>
      <w:r w:rsidRPr="00221487">
        <w:rPr>
          <w:rFonts w:ascii="Times New Roman" w:eastAsia="Times New Roman" w:hAnsi="Times New Roman" w:cs="Times New Roman"/>
          <w:noProof/>
          <w:sz w:val="24"/>
          <w:szCs w:val="24"/>
          <w:lang w:val="sq-AL"/>
        </w:rPr>
        <w:t>Përmbledhje e progresit së Shtyllës 3</w:t>
      </w:r>
      <w:bookmarkEnd w:id="47"/>
      <w:bookmarkEnd w:id="48"/>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New Roman" w:hAnsi="Times New Roman" w:cs="Times New Roman"/>
          <w:bCs/>
          <w:noProof/>
          <w:sz w:val="24"/>
          <w:szCs w:val="24"/>
          <w:lang w:val="sq-AL"/>
        </w:rPr>
        <w:t xml:space="preserve">Shtylla 3 përbëhet nga dhjetë objektiva dhe ka bërë progres të konsiderueshëm, pavarësisht se përbëhet nga një numër masash të vështira. Sipas treguesve të rezultatit, katër objektiva janë përmbushur, tre janë përmbushur pjesërisht dhe dy nuk mund të mateshin. Dy objektiva mbulojnë taksimin ku një prej treguesve të rezultatit është përmbushur, një tregues është përmbushur pjesërisht dhe një nuk është përmbushur. </w:t>
      </w:r>
      <w:r w:rsidRPr="00221487">
        <w:rPr>
          <w:rFonts w:ascii="Times New Roman" w:eastAsia="Times New Roman" w:hAnsi="Times New Roman" w:cs="Times New Roman"/>
          <w:b/>
          <w:bCs/>
          <w:noProof/>
          <w:sz w:val="24"/>
          <w:szCs w:val="24"/>
          <w:lang w:val="sq-AL"/>
        </w:rPr>
        <w:t>Objektivi 1</w:t>
      </w:r>
      <w:r w:rsidRPr="00221487">
        <w:rPr>
          <w:rFonts w:ascii="Times New Roman" w:eastAsia="Times New Roman" w:hAnsi="Times New Roman" w:cs="Times New Roman"/>
          <w:bCs/>
          <w:noProof/>
          <w:sz w:val="24"/>
          <w:szCs w:val="24"/>
          <w:lang w:val="sq-AL"/>
        </w:rPr>
        <w:t xml:space="preserve"> është: “</w:t>
      </w:r>
      <w:r w:rsidRPr="00221487">
        <w:rPr>
          <w:rFonts w:ascii="Times New Roman" w:eastAsia="Times" w:hAnsi="Times New Roman" w:cs="Times New Roman"/>
          <w:i/>
          <w:noProof/>
          <w:sz w:val="24"/>
          <w:szCs w:val="24"/>
          <w:lang w:val="sq-AL"/>
        </w:rPr>
        <w:t xml:space="preserve">Administrata tatimorë rrit bazën tatimore, mbështet mbledhjen efektive të taksave dhe ul rastet e mashtrimit” </w:t>
      </w:r>
      <w:r w:rsidRPr="00221487">
        <w:rPr>
          <w:rFonts w:ascii="Times New Roman" w:eastAsia="Times" w:hAnsi="Times New Roman" w:cs="Times New Roman"/>
          <w:noProof/>
          <w:sz w:val="24"/>
          <w:szCs w:val="24"/>
          <w:lang w:val="sq-AL"/>
        </w:rPr>
        <w:t xml:space="preserve">dhe treguesi i rezultatit është: “Zgjerimi i bazës tatimore me 30 % për punonjësit dhe 20% për bizneset deri në vitin 2020”. </w:t>
      </w:r>
      <w:r w:rsidRPr="00221487">
        <w:rPr>
          <w:rFonts w:ascii="Times New Roman" w:eastAsia="Times" w:hAnsi="Times New Roman" w:cs="Times New Roman"/>
          <w:i/>
          <w:noProof/>
          <w:sz w:val="24"/>
          <w:szCs w:val="24"/>
          <w:lang w:val="sq-AL"/>
        </w:rPr>
        <w:t>Objektivi i synuar</w:t>
      </w:r>
      <w:r w:rsidRPr="00221487">
        <w:rPr>
          <w:rFonts w:ascii="Times New Roman" w:eastAsia="Times" w:hAnsi="Times New Roman" w:cs="Times New Roman"/>
          <w:noProof/>
          <w:sz w:val="24"/>
          <w:szCs w:val="24"/>
          <w:lang w:val="sq-AL"/>
        </w:rPr>
        <w:t xml:space="preserve"> për vitin 2018 </w:t>
      </w:r>
      <w:r w:rsidRPr="00221487">
        <w:rPr>
          <w:rFonts w:ascii="Times New Roman" w:eastAsia="Times" w:hAnsi="Times New Roman" w:cs="Times New Roman"/>
          <w:b/>
          <w:noProof/>
          <w:sz w:val="24"/>
          <w:szCs w:val="24"/>
          <w:lang w:val="sq-AL"/>
        </w:rPr>
        <w:t xml:space="preserve">u përmbush pjesërisht, </w:t>
      </w:r>
      <w:r w:rsidRPr="00221487">
        <w:rPr>
          <w:rFonts w:ascii="Times New Roman" w:eastAsia="Times" w:hAnsi="Times New Roman" w:cs="Times New Roman"/>
          <w:noProof/>
          <w:sz w:val="24"/>
          <w:szCs w:val="24"/>
          <w:lang w:val="sq-AL"/>
        </w:rPr>
        <w:t xml:space="preserve">pasi baza tatimore u rrit krahasuar me vlerën bazë (2014) me 29 përqind për punonjësit (gjithashtu u rrit krahasuar edhe më vitin 2017 ku arriti 25%) dhe me 16 përqind për bizneset (por u ul krahasuar me vitin 2017 ku ishte 17%). </w:t>
      </w:r>
      <w:r w:rsidRPr="00221487">
        <w:rPr>
          <w:rFonts w:ascii="Times New Roman" w:eastAsia="Times" w:hAnsi="Times New Roman" w:cs="Times New Roman"/>
          <w:b/>
          <w:noProof/>
          <w:sz w:val="24"/>
          <w:szCs w:val="24"/>
          <w:lang w:val="sq-AL"/>
        </w:rPr>
        <w:t>Objektivi 2</w:t>
      </w:r>
      <w:r w:rsidRPr="00221487">
        <w:rPr>
          <w:rFonts w:ascii="Times New Roman" w:eastAsia="Times" w:hAnsi="Times New Roman" w:cs="Times New Roman"/>
          <w:noProof/>
          <w:sz w:val="24"/>
          <w:szCs w:val="24"/>
          <w:lang w:val="sq-AL"/>
        </w:rPr>
        <w:t>: “</w:t>
      </w:r>
      <w:r w:rsidRPr="00221487">
        <w:rPr>
          <w:rFonts w:ascii="Times New Roman" w:eastAsia="Times" w:hAnsi="Times New Roman" w:cs="Times New Roman"/>
          <w:i/>
          <w:noProof/>
          <w:sz w:val="24"/>
          <w:szCs w:val="24"/>
          <w:lang w:val="sq-AL"/>
        </w:rPr>
        <w:t>Menaxhimi efektiv, efikas, i drejtë dhe transparent i të ardhurave tatimore</w:t>
      </w:r>
      <w:r w:rsidRPr="00221487">
        <w:rPr>
          <w:rFonts w:ascii="Times New Roman" w:eastAsia="Times" w:hAnsi="Times New Roman" w:cs="Times New Roman"/>
          <w:noProof/>
          <w:sz w:val="24"/>
          <w:szCs w:val="24"/>
          <w:lang w:val="sq-AL"/>
        </w:rPr>
        <w:t>”</w:t>
      </w:r>
      <w:r w:rsidRPr="00221487">
        <w:rPr>
          <w:rFonts w:ascii="Times New Roman" w:eastAsia="Times" w:hAnsi="Times New Roman" w:cs="Times New Roman"/>
          <w:i/>
          <w:noProof/>
          <w:sz w:val="24"/>
          <w:szCs w:val="24"/>
          <w:lang w:val="sq-AL"/>
        </w:rPr>
        <w:t xml:space="preserve"> </w:t>
      </w:r>
      <w:r w:rsidRPr="00221487">
        <w:rPr>
          <w:rFonts w:ascii="Times New Roman" w:eastAsia="Times" w:hAnsi="Times New Roman" w:cs="Times New Roman"/>
          <w:noProof/>
          <w:sz w:val="24"/>
          <w:szCs w:val="24"/>
          <w:lang w:val="sq-AL"/>
        </w:rPr>
        <w:t xml:space="preserve">mbështetet nga Treguesi i Rezultatit 1: </w:t>
      </w:r>
      <w:r w:rsidRPr="00221487">
        <w:rPr>
          <w:rFonts w:ascii="Times New Roman" w:eastAsia="Times" w:hAnsi="Times New Roman" w:cs="Times New Roman"/>
          <w:i/>
          <w:noProof/>
          <w:sz w:val="24"/>
          <w:szCs w:val="24"/>
          <w:lang w:val="sq-AL"/>
        </w:rPr>
        <w:t xml:space="preserve">“Rritja e efikasitetit tatimor si rezultat i uljes së kostove administrative në më pak se 1%”, </w:t>
      </w:r>
      <w:r w:rsidRPr="00221487">
        <w:rPr>
          <w:rFonts w:ascii="Times New Roman" w:eastAsia="Times" w:hAnsi="Times New Roman" w:cs="Times New Roman"/>
          <w:b/>
          <w:noProof/>
          <w:sz w:val="24"/>
          <w:szCs w:val="24"/>
          <w:lang w:val="sq-AL"/>
        </w:rPr>
        <w:t>u përmbush</w:t>
      </w:r>
      <w:r w:rsidRPr="00221487">
        <w:rPr>
          <w:rFonts w:ascii="Times New Roman" w:eastAsia="Times" w:hAnsi="Times New Roman" w:cs="Times New Roman"/>
          <w:noProof/>
          <w:sz w:val="24"/>
          <w:szCs w:val="24"/>
          <w:lang w:val="sq-AL"/>
        </w:rPr>
        <w:t xml:space="preserve">, pasi shkalla e efikasitetit tatimor u rrit më shumë nga sa pritej. </w:t>
      </w:r>
      <w:r w:rsidRPr="00221487">
        <w:rPr>
          <w:rFonts w:ascii="Times New Roman" w:eastAsia="Times" w:hAnsi="Times New Roman" w:cs="Times New Roman"/>
          <w:b/>
          <w:noProof/>
          <w:sz w:val="24"/>
          <w:szCs w:val="24"/>
          <w:lang w:val="sq-AL"/>
        </w:rPr>
        <w:t xml:space="preserve"> </w:t>
      </w:r>
      <w:r w:rsidRPr="00221487">
        <w:rPr>
          <w:rFonts w:ascii="Times New Roman" w:eastAsia="Times" w:hAnsi="Times New Roman" w:cs="Times New Roman"/>
          <w:noProof/>
          <w:sz w:val="24"/>
          <w:szCs w:val="24"/>
          <w:lang w:val="sq-AL"/>
        </w:rPr>
        <w:t>Treguesi i rezultatit 2: “</w:t>
      </w:r>
      <w:r w:rsidRPr="00221487">
        <w:rPr>
          <w:rFonts w:ascii="Times New Roman" w:eastAsia="Times" w:hAnsi="Times New Roman" w:cs="Times New Roman"/>
          <w:i/>
          <w:noProof/>
          <w:sz w:val="24"/>
          <w:szCs w:val="24"/>
          <w:lang w:val="sq-AL"/>
        </w:rPr>
        <w:t>Rimbursimi i TVSH-së sipas afateve ligjore</w:t>
      </w:r>
      <w:r w:rsidRPr="00221487">
        <w:rPr>
          <w:rFonts w:ascii="Times New Roman" w:eastAsia="Times" w:hAnsi="Times New Roman" w:cs="Times New Roman"/>
          <w:noProof/>
          <w:sz w:val="24"/>
          <w:szCs w:val="24"/>
          <w:lang w:val="sq-AL"/>
        </w:rPr>
        <w:t xml:space="preserve">”. Vlera e synuar për vitin 2018 u </w:t>
      </w:r>
      <w:r w:rsidRPr="00221487">
        <w:rPr>
          <w:rFonts w:ascii="Times New Roman" w:eastAsia="Times" w:hAnsi="Times New Roman" w:cs="Times New Roman"/>
          <w:b/>
          <w:noProof/>
          <w:sz w:val="24"/>
          <w:szCs w:val="24"/>
          <w:lang w:val="sq-AL"/>
        </w:rPr>
        <w:t>përmbush</w:t>
      </w:r>
      <w:r w:rsidRPr="00221487">
        <w:rPr>
          <w:rFonts w:ascii="Times New Roman" w:eastAsia="Times" w:hAnsi="Times New Roman" w:cs="Times New Roman"/>
          <w:noProof/>
          <w:sz w:val="24"/>
          <w:szCs w:val="24"/>
          <w:lang w:val="sq-AL"/>
        </w:rPr>
        <w:t xml:space="preserve"> pasi rastet e shqyrtuara kundrejt numrit total të kërkesave për rimbursim patën rritje krahasuar me në vitin 2017. </w:t>
      </w:r>
    </w:p>
    <w:p w:rsidR="00221487" w:rsidRPr="00221487" w:rsidRDefault="00221487" w:rsidP="00221487">
      <w:pPr>
        <w:spacing w:after="0" w:line="240" w:lineRule="auto"/>
        <w:jc w:val="both"/>
        <w:rPr>
          <w:rFonts w:ascii="Times New Roman" w:eastAsia="Times" w:hAnsi="Times New Roman" w:cs="Times New Roman"/>
          <w:noProof/>
          <w:sz w:val="24"/>
          <w:szCs w:val="24"/>
          <w:highlight w:val="yellow"/>
          <w:lang w:val="sq-AL"/>
        </w:rPr>
      </w:pP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b/>
          <w:noProof/>
          <w:sz w:val="24"/>
          <w:szCs w:val="24"/>
          <w:lang w:val="sq-AL"/>
        </w:rPr>
        <w:t>Objektivi 3</w:t>
      </w:r>
      <w:r w:rsidRPr="00221487">
        <w:rPr>
          <w:rFonts w:ascii="Times New Roman" w:eastAsia="Times" w:hAnsi="Times New Roman" w:cs="Times New Roman"/>
          <w:noProof/>
          <w:sz w:val="24"/>
          <w:szCs w:val="24"/>
          <w:lang w:val="sq-AL"/>
        </w:rPr>
        <w:t xml:space="preserve"> lidhet si me tatimet dhe me doganat: “</w:t>
      </w:r>
      <w:r w:rsidRPr="00221487">
        <w:rPr>
          <w:rFonts w:ascii="Times New Roman" w:eastAsia="Times" w:hAnsi="Times New Roman" w:cs="Times New Roman"/>
          <w:i/>
          <w:noProof/>
          <w:sz w:val="24"/>
          <w:szCs w:val="24"/>
          <w:lang w:val="sq-AL"/>
        </w:rPr>
        <w:t>Menaxhim efektiv, efikas, i drejtë dhe transparent i menaxhimit të të ardhurave”</w:t>
      </w:r>
      <w:r w:rsidRPr="00221487">
        <w:rPr>
          <w:rFonts w:ascii="Times New Roman" w:eastAsia="Times" w:hAnsi="Times New Roman" w:cs="Times New Roman"/>
          <w:noProof/>
          <w:sz w:val="24"/>
          <w:szCs w:val="24"/>
          <w:lang w:val="sq-AL"/>
        </w:rPr>
        <w:t xml:space="preserve"> me treguesin e rezultatit “</w:t>
      </w:r>
      <w:r w:rsidRPr="00221487">
        <w:rPr>
          <w:rFonts w:ascii="Times New Roman" w:eastAsia="Times" w:hAnsi="Times New Roman" w:cs="Times New Roman"/>
          <w:i/>
          <w:noProof/>
          <w:sz w:val="24"/>
          <w:szCs w:val="24"/>
          <w:lang w:val="sq-AL"/>
        </w:rPr>
        <w:t>Devijimi në përqindje i mbledhjes faktike është brenda përqindjes  së parashikimit buxhetor të aprovuar për të ardhurat</w:t>
      </w:r>
      <w:r w:rsidRPr="00221487">
        <w:rPr>
          <w:rFonts w:ascii="Times New Roman" w:eastAsia="Times" w:hAnsi="Times New Roman" w:cs="Times New Roman"/>
          <w:noProof/>
          <w:sz w:val="24"/>
          <w:szCs w:val="24"/>
          <w:lang w:val="sq-AL"/>
        </w:rPr>
        <w:t xml:space="preserve">”, i cili </w:t>
      </w:r>
      <w:r w:rsidRPr="00221487">
        <w:rPr>
          <w:rFonts w:ascii="Times New Roman" w:eastAsia="Times" w:hAnsi="Times New Roman" w:cs="Times New Roman"/>
          <w:b/>
          <w:noProof/>
          <w:sz w:val="24"/>
          <w:szCs w:val="24"/>
          <w:lang w:val="sq-AL"/>
        </w:rPr>
        <w:t>nuk u përmbush</w:t>
      </w:r>
      <w:r w:rsidRPr="00221487">
        <w:rPr>
          <w:rFonts w:ascii="Times New Roman" w:eastAsia="Times" w:hAnsi="Times New Roman" w:cs="Times New Roman"/>
          <w:noProof/>
          <w:sz w:val="24"/>
          <w:szCs w:val="24"/>
          <w:lang w:val="sq-AL"/>
        </w:rPr>
        <w:t xml:space="preserve"> pasi vlera për vitin </w:t>
      </w:r>
      <w:r w:rsidRPr="00221487">
        <w:rPr>
          <w:rFonts w:ascii="Times New Roman" w:eastAsia="Times" w:hAnsi="Times New Roman" w:cs="Times New Roman"/>
          <w:b/>
          <w:noProof/>
          <w:sz w:val="24"/>
          <w:szCs w:val="24"/>
          <w:lang w:val="sq-AL"/>
        </w:rPr>
        <w:t xml:space="preserve"> </w:t>
      </w:r>
      <w:r w:rsidRPr="00221487">
        <w:rPr>
          <w:rFonts w:ascii="Times New Roman" w:eastAsia="Times" w:hAnsi="Times New Roman" w:cs="Times New Roman"/>
          <w:noProof/>
          <w:sz w:val="24"/>
          <w:szCs w:val="24"/>
          <w:lang w:val="sq-AL"/>
        </w:rPr>
        <w:t>2018 (-) 3.8% është mbi intervalin e synuar.</w:t>
      </w:r>
    </w:p>
    <w:p w:rsidR="00221487" w:rsidRPr="00221487" w:rsidRDefault="00221487" w:rsidP="00221487">
      <w:pPr>
        <w:autoSpaceDE w:val="0"/>
        <w:autoSpaceDN w:val="0"/>
        <w:adjustRightInd w:val="0"/>
        <w:spacing w:after="0" w:line="240" w:lineRule="auto"/>
        <w:jc w:val="both"/>
        <w:rPr>
          <w:rFonts w:ascii="Times New Roman" w:eastAsia="Times New Roman" w:hAnsi="Times New Roman" w:cs="Times New Roman"/>
          <w:noProof/>
          <w:color w:val="000000"/>
          <w:sz w:val="24"/>
          <w:szCs w:val="24"/>
          <w:lang w:val="sq-AL" w:eastAsia="en-GB"/>
        </w:rPr>
      </w:pPr>
      <w:r w:rsidRPr="00221487">
        <w:rPr>
          <w:rFonts w:ascii="Times New Roman" w:eastAsia="Times New Roman" w:hAnsi="Times New Roman" w:cs="Times New Roman"/>
          <w:b/>
          <w:noProof/>
          <w:color w:val="000000"/>
          <w:sz w:val="24"/>
          <w:szCs w:val="24"/>
          <w:lang w:val="sq-AL" w:eastAsia="en-GB"/>
        </w:rPr>
        <w:t>Objektivi i katërt i</w:t>
      </w:r>
      <w:r w:rsidRPr="00221487">
        <w:rPr>
          <w:rFonts w:ascii="Times New Roman" w:eastAsia="Times New Roman" w:hAnsi="Times New Roman" w:cs="Times New Roman"/>
          <w:noProof/>
          <w:color w:val="000000"/>
          <w:sz w:val="24"/>
          <w:szCs w:val="24"/>
          <w:lang w:val="sq-AL" w:eastAsia="en-GB"/>
        </w:rPr>
        <w:t xml:space="preserve"> Shtyllës 3, u përmbush pjesërisht: “Regjistrim dhe kontroll tërësisht transparent dhe efikas dhe i shpenzimeve qeveritare të mbledhura” me treguesin e rezultatit 1: “</w:t>
      </w:r>
      <w:r w:rsidRPr="00221487">
        <w:rPr>
          <w:rFonts w:ascii="Times New Roman" w:eastAsia="Times New Roman" w:hAnsi="Times New Roman" w:cs="Times New Roman"/>
          <w:i/>
          <w:iCs/>
          <w:noProof/>
          <w:color w:val="000000"/>
          <w:sz w:val="24"/>
          <w:szCs w:val="24"/>
          <w:lang w:val="sq-AL" w:eastAsia="en-GB"/>
        </w:rPr>
        <w:t>Detyrimet e prapambetura të akumuluara për qeverinë qendrore maten si përqindje e totalit të shpenzimeve të grumbulluara në fund të vitit fiskal</w:t>
      </w:r>
      <w:r w:rsidRPr="00221487">
        <w:rPr>
          <w:rFonts w:ascii="Times New Roman" w:eastAsia="Times New Roman" w:hAnsi="Times New Roman" w:cs="Times New Roman"/>
          <w:noProof/>
          <w:color w:val="000000"/>
          <w:sz w:val="24"/>
          <w:szCs w:val="24"/>
          <w:lang w:val="sq-AL" w:eastAsia="en-GB"/>
        </w:rPr>
        <w:t xml:space="preserve">”, u rrit dhe </w:t>
      </w:r>
      <w:r w:rsidRPr="00221487">
        <w:rPr>
          <w:rFonts w:ascii="Times New Roman" w:eastAsia="Times New Roman" w:hAnsi="Times New Roman" w:cs="Times New Roman"/>
          <w:b/>
          <w:noProof/>
          <w:color w:val="000000"/>
          <w:sz w:val="24"/>
          <w:szCs w:val="24"/>
          <w:lang w:val="sq-AL" w:eastAsia="en-GB"/>
        </w:rPr>
        <w:t>nuk u përmbush.</w:t>
      </w:r>
      <w:r w:rsidRPr="00221487">
        <w:rPr>
          <w:rFonts w:ascii="Times New Roman" w:eastAsia="Times New Roman" w:hAnsi="Times New Roman" w:cs="Times New Roman"/>
          <w:noProof/>
          <w:color w:val="000000"/>
          <w:sz w:val="24"/>
          <w:szCs w:val="24"/>
          <w:lang w:val="sq-AL" w:eastAsia="en-GB"/>
        </w:rPr>
        <w:t xml:space="preserve"> Megjithatë treguesi i rezultatit 2: “</w:t>
      </w:r>
      <w:r w:rsidRPr="00221487">
        <w:rPr>
          <w:rFonts w:ascii="Times New Roman" w:eastAsia="Times New Roman" w:hAnsi="Times New Roman" w:cs="Times New Roman"/>
          <w:i/>
          <w:iCs/>
          <w:noProof/>
          <w:color w:val="000000"/>
          <w:sz w:val="24"/>
          <w:szCs w:val="24"/>
          <w:lang w:val="sq-AL" w:eastAsia="en-GB"/>
        </w:rPr>
        <w:t>Punonjësit e administratës publike të regjistruar SIMBR, në përqindje</w:t>
      </w:r>
      <w:r w:rsidRPr="00221487">
        <w:rPr>
          <w:rFonts w:ascii="Times New Roman" w:eastAsia="Times New Roman" w:hAnsi="Times New Roman" w:cs="Times New Roman"/>
          <w:noProof/>
          <w:color w:val="000000"/>
          <w:sz w:val="24"/>
          <w:szCs w:val="24"/>
          <w:lang w:val="sq-AL" w:eastAsia="en-GB"/>
        </w:rPr>
        <w:t xml:space="preserve">” </w:t>
      </w:r>
      <w:r w:rsidRPr="00221487">
        <w:rPr>
          <w:rFonts w:ascii="Times New Roman" w:eastAsia="Times New Roman" w:hAnsi="Times New Roman" w:cs="Times New Roman"/>
          <w:b/>
          <w:noProof/>
          <w:color w:val="000000"/>
          <w:sz w:val="24"/>
          <w:szCs w:val="24"/>
          <w:lang w:val="sq-AL" w:eastAsia="en-GB"/>
        </w:rPr>
        <w:t>u përmbush</w:t>
      </w:r>
      <w:r w:rsidRPr="00221487">
        <w:rPr>
          <w:rFonts w:ascii="Times New Roman" w:eastAsia="Times New Roman" w:hAnsi="Times New Roman" w:cs="Times New Roman"/>
          <w:noProof/>
          <w:color w:val="000000"/>
          <w:sz w:val="24"/>
          <w:szCs w:val="24"/>
          <w:lang w:val="sq-AL" w:eastAsia="en-GB"/>
        </w:rPr>
        <w:t xml:space="preserve"> pasi 74 përqind e punonjësve janë regjistruar. </w:t>
      </w:r>
    </w:p>
    <w:p w:rsidR="00221487" w:rsidRPr="00221487" w:rsidRDefault="00221487" w:rsidP="00221487">
      <w:pPr>
        <w:autoSpaceDE w:val="0"/>
        <w:autoSpaceDN w:val="0"/>
        <w:adjustRightInd w:val="0"/>
        <w:spacing w:after="0" w:line="240" w:lineRule="auto"/>
        <w:rPr>
          <w:rFonts w:ascii="Times New Roman" w:eastAsia="Calibri" w:hAnsi="Times New Roman" w:cs="Times New Roman"/>
          <w:i/>
          <w:iCs/>
          <w:color w:val="000000"/>
          <w:sz w:val="24"/>
          <w:szCs w:val="24"/>
          <w:lang w:val="sq-AL" w:eastAsia="en-GB"/>
        </w:rPr>
      </w:pPr>
      <w:r w:rsidRPr="00221487">
        <w:rPr>
          <w:rFonts w:ascii="Times New Roman" w:eastAsia="Calibri" w:hAnsi="Times New Roman" w:cs="Times New Roman"/>
          <w:b/>
          <w:bCs/>
          <w:color w:val="000000"/>
          <w:sz w:val="24"/>
          <w:szCs w:val="24"/>
          <w:lang w:val="sq-AL" w:eastAsia="en-GB"/>
        </w:rPr>
        <w:t>Objektivi 5</w:t>
      </w:r>
      <w:r w:rsidRPr="00221487">
        <w:rPr>
          <w:rFonts w:ascii="Times New Roman" w:eastAsia="Calibri" w:hAnsi="Times New Roman" w:cs="Times New Roman"/>
          <w:color w:val="000000"/>
          <w:sz w:val="24"/>
          <w:szCs w:val="24"/>
          <w:lang w:val="sq-AL" w:eastAsia="en-GB"/>
        </w:rPr>
        <w:t>: “</w:t>
      </w:r>
      <w:r w:rsidRPr="00221487">
        <w:rPr>
          <w:rFonts w:ascii="Times New Roman" w:eastAsia="Calibri" w:hAnsi="Times New Roman" w:cs="Times New Roman"/>
          <w:i/>
          <w:iCs/>
          <w:color w:val="000000"/>
          <w:sz w:val="24"/>
          <w:szCs w:val="24"/>
          <w:lang w:val="sq-AL" w:eastAsia="en-GB"/>
        </w:rPr>
        <w:t>Përdorim efektiv dhe transparent i sistemeve qeveritare për menaxhimin dhe kontrollin e fondeve të jashtme, përfshirë projektet e financuara nga BE-ja dhe fondeve të tjera donatore, duke përfshirë edhe projektet e financuara nga BE-ja nën programet e IPA në mënyrë të decentralizuar</w:t>
      </w:r>
      <w:r w:rsidRPr="00221487">
        <w:rPr>
          <w:rFonts w:ascii="Times New Roman" w:eastAsia="Calibri" w:hAnsi="Times New Roman" w:cs="Times New Roman"/>
          <w:color w:val="000000"/>
          <w:sz w:val="24"/>
          <w:szCs w:val="24"/>
          <w:lang w:val="sq-AL" w:eastAsia="en-GB"/>
        </w:rPr>
        <w:t>” me tregues rezultati “</w:t>
      </w:r>
      <w:r w:rsidRPr="00221487">
        <w:rPr>
          <w:rFonts w:ascii="Times New Roman" w:eastAsia="Calibri" w:hAnsi="Times New Roman" w:cs="Times New Roman"/>
          <w:i/>
          <w:iCs/>
          <w:color w:val="000000"/>
          <w:sz w:val="24"/>
          <w:szCs w:val="24"/>
          <w:lang w:val="sq-AL" w:eastAsia="en-GB"/>
        </w:rPr>
        <w:t>Raporti i disbursimeve të fondeve të BE-së dhe fondeve nga donatorët në raportet fiskale mujorë që përgatit Thesari</w:t>
      </w:r>
      <w:r w:rsidRPr="00221487">
        <w:rPr>
          <w:rFonts w:ascii="Times New Roman" w:eastAsia="Calibri" w:hAnsi="Times New Roman" w:cs="Times New Roman"/>
          <w:color w:val="000000"/>
          <w:sz w:val="24"/>
          <w:szCs w:val="24"/>
          <w:lang w:val="sq-AL" w:eastAsia="en-GB"/>
        </w:rPr>
        <w:t xml:space="preserve">” </w:t>
      </w:r>
      <w:r w:rsidRPr="00221487">
        <w:rPr>
          <w:rFonts w:ascii="Times New Roman" w:eastAsia="Calibri" w:hAnsi="Times New Roman" w:cs="Times New Roman"/>
          <w:b/>
          <w:bCs/>
          <w:color w:val="000000"/>
          <w:sz w:val="24"/>
          <w:szCs w:val="24"/>
          <w:lang w:val="sq-AL" w:eastAsia="en-GB"/>
        </w:rPr>
        <w:t xml:space="preserve">nuk mund të matej </w:t>
      </w:r>
      <w:r w:rsidRPr="00221487">
        <w:rPr>
          <w:rFonts w:ascii="Times New Roman" w:eastAsia="Calibri" w:hAnsi="Times New Roman" w:cs="Times New Roman"/>
          <w:color w:val="000000"/>
          <w:sz w:val="24"/>
          <w:szCs w:val="24"/>
          <w:lang w:val="sq-AL" w:eastAsia="en-GB"/>
        </w:rPr>
        <w:t xml:space="preserve">pasi duhet të përfundojë fillimisht </w:t>
      </w:r>
      <w:r w:rsidRPr="00221487">
        <w:rPr>
          <w:rFonts w:ascii="Times New Roman" w:eastAsia="Calibri" w:hAnsi="Times New Roman" w:cs="Times New Roman"/>
          <w:color w:val="000000"/>
          <w:sz w:val="24"/>
          <w:szCs w:val="24"/>
          <w:lang w:val="sq-AL" w:eastAsia="en-GB"/>
        </w:rPr>
        <w:lastRenderedPageBreak/>
        <w:t xml:space="preserve">projekti SIMFJ. Menaxhimi i borxhit është në fokusin </w:t>
      </w:r>
      <w:r w:rsidRPr="00221487">
        <w:rPr>
          <w:rFonts w:ascii="Times New Roman" w:eastAsia="Calibri" w:hAnsi="Times New Roman" w:cs="Times New Roman"/>
          <w:b/>
          <w:color w:val="000000"/>
          <w:sz w:val="24"/>
          <w:szCs w:val="24"/>
          <w:lang w:val="sq-AL" w:eastAsia="en-GB"/>
        </w:rPr>
        <w:t>e objektivit të gjashtë</w:t>
      </w:r>
      <w:r w:rsidRPr="00221487">
        <w:rPr>
          <w:rFonts w:ascii="Times New Roman" w:eastAsia="Calibri" w:hAnsi="Times New Roman" w:cs="Times New Roman"/>
          <w:color w:val="000000"/>
          <w:sz w:val="24"/>
          <w:szCs w:val="24"/>
          <w:lang w:val="sq-AL" w:eastAsia="en-GB"/>
        </w:rPr>
        <w:t xml:space="preserve"> </w:t>
      </w:r>
      <w:r w:rsidRPr="00221487">
        <w:rPr>
          <w:rFonts w:ascii="Times New Roman" w:eastAsia="Times New Roman" w:hAnsi="Times New Roman" w:cs="Times New Roman"/>
          <w:b/>
          <w:bCs/>
          <w:color w:val="000000"/>
          <w:sz w:val="24"/>
          <w:szCs w:val="24"/>
          <w:lang w:val="sq-AL" w:eastAsia="en-GB"/>
        </w:rPr>
        <w:t>“</w:t>
      </w:r>
      <w:r w:rsidRPr="00221487">
        <w:rPr>
          <w:rFonts w:ascii="Times New Roman" w:eastAsia="Times New Roman" w:hAnsi="Times New Roman" w:cs="Times New Roman"/>
          <w:bCs/>
          <w:i/>
          <w:color w:val="000000"/>
          <w:sz w:val="24"/>
          <w:szCs w:val="24"/>
          <w:lang w:val="sq-AL" w:eastAsia="en-GB"/>
        </w:rPr>
        <w:t>Përgatitet çdo vit</w:t>
      </w:r>
      <w:r w:rsidRPr="00221487">
        <w:rPr>
          <w:rFonts w:ascii="Times New Roman" w:eastAsia="Times New Roman" w:hAnsi="Times New Roman" w:cs="Times New Roman"/>
          <w:b/>
          <w:bCs/>
          <w:color w:val="000000"/>
          <w:sz w:val="24"/>
          <w:szCs w:val="24"/>
          <w:lang w:val="sq-AL" w:eastAsia="en-GB"/>
        </w:rPr>
        <w:t xml:space="preserve"> </w:t>
      </w:r>
      <w:r w:rsidRPr="00221487">
        <w:rPr>
          <w:rFonts w:ascii="Times New Roman" w:eastAsia="Times New Roman" w:hAnsi="Times New Roman" w:cs="Times New Roman"/>
          <w:i/>
          <w:iCs/>
          <w:color w:val="000000"/>
          <w:sz w:val="24"/>
          <w:szCs w:val="24"/>
          <w:lang w:val="sq-AL" w:eastAsia="en-GB"/>
        </w:rPr>
        <w:t xml:space="preserve">analiza e qëndrueshmërisë së borxhit si dhe strategjitë për menaxhimin dhe qëndrueshmërinë e borxhit bazuar në të” </w:t>
      </w:r>
      <w:r w:rsidRPr="00221487">
        <w:rPr>
          <w:rFonts w:ascii="Times New Roman" w:eastAsia="Times New Roman" w:hAnsi="Times New Roman" w:cs="Times New Roman"/>
          <w:color w:val="000000"/>
          <w:sz w:val="24"/>
          <w:szCs w:val="24"/>
          <w:lang w:val="sq-AL" w:eastAsia="en-GB"/>
        </w:rPr>
        <w:t>me tregues rezultati “</w:t>
      </w:r>
      <w:r w:rsidRPr="00221487">
        <w:rPr>
          <w:rFonts w:ascii="Times New Roman" w:eastAsia="Times New Roman" w:hAnsi="Times New Roman" w:cs="Times New Roman"/>
          <w:i/>
          <w:iCs/>
          <w:color w:val="000000"/>
          <w:sz w:val="24"/>
          <w:szCs w:val="24"/>
          <w:lang w:val="sq-AL" w:eastAsia="en-GB"/>
        </w:rPr>
        <w:t>Stoku i borxhit të brendshëm rifinancohet brenda një viti</w:t>
      </w:r>
      <w:r w:rsidRPr="00221487">
        <w:rPr>
          <w:rFonts w:ascii="Times New Roman" w:eastAsia="Times New Roman" w:hAnsi="Times New Roman" w:cs="Times New Roman"/>
          <w:color w:val="000000"/>
          <w:sz w:val="24"/>
          <w:szCs w:val="24"/>
          <w:lang w:val="sq-AL" w:eastAsia="en-GB"/>
        </w:rPr>
        <w:t xml:space="preserve">” u përmbush dhe u tejkalua pasi u ul raporti midis stokut të borxhit të brendshëm kundrejt stokut total të borxhit të brendshëm. </w:t>
      </w:r>
      <w:r w:rsidRPr="00221487">
        <w:rPr>
          <w:rFonts w:ascii="Times New Roman" w:eastAsia="Times New Roman" w:hAnsi="Times New Roman" w:cs="Times New Roman"/>
          <w:b/>
          <w:bCs/>
          <w:color w:val="000000"/>
          <w:sz w:val="24"/>
          <w:szCs w:val="24"/>
          <w:lang w:val="sq-AL" w:eastAsia="en-GB"/>
        </w:rPr>
        <w:t xml:space="preserve">Objektivi i shtatë </w:t>
      </w:r>
      <w:r w:rsidRPr="00221487">
        <w:rPr>
          <w:rFonts w:ascii="Times New Roman" w:eastAsia="Times New Roman" w:hAnsi="Times New Roman" w:cs="Times New Roman"/>
          <w:color w:val="000000"/>
          <w:sz w:val="24"/>
          <w:szCs w:val="24"/>
          <w:lang w:val="sq-AL" w:eastAsia="en-GB"/>
        </w:rPr>
        <w:t>“</w:t>
      </w:r>
      <w:r w:rsidRPr="00221487">
        <w:rPr>
          <w:rFonts w:ascii="Times New Roman" w:eastAsia="Times New Roman" w:hAnsi="Times New Roman" w:cs="Times New Roman"/>
          <w:i/>
          <w:iCs/>
          <w:color w:val="000000"/>
          <w:sz w:val="24"/>
          <w:szCs w:val="24"/>
          <w:lang w:val="sq-AL" w:eastAsia="en-GB"/>
        </w:rPr>
        <w:t xml:space="preserve">Kosto të minimizuara për të përmbushur nevojat qeveritare për financim për një nivel të caktuar risku dhe duke mbajtur parasysh normën e kreditimit të Shqipërisë” </w:t>
      </w:r>
      <w:r w:rsidRPr="00221487">
        <w:rPr>
          <w:rFonts w:ascii="Times New Roman" w:eastAsia="Times New Roman" w:hAnsi="Times New Roman" w:cs="Times New Roman"/>
          <w:color w:val="000000"/>
          <w:sz w:val="24"/>
          <w:szCs w:val="24"/>
          <w:lang w:val="sq-AL" w:eastAsia="en-GB"/>
        </w:rPr>
        <w:t xml:space="preserve">e përbërë nga dy tregues rezultati </w:t>
      </w:r>
      <w:r w:rsidRPr="00221487">
        <w:rPr>
          <w:rFonts w:ascii="Times New Roman" w:eastAsia="Times New Roman" w:hAnsi="Times New Roman" w:cs="Times New Roman"/>
          <w:b/>
          <w:color w:val="000000"/>
          <w:sz w:val="24"/>
          <w:szCs w:val="24"/>
          <w:lang w:val="sq-AL" w:eastAsia="en-GB"/>
        </w:rPr>
        <w:t>u përmbush pjesërisht</w:t>
      </w:r>
      <w:r w:rsidRPr="00221487">
        <w:rPr>
          <w:rFonts w:ascii="Times New Roman" w:eastAsia="Times New Roman" w:hAnsi="Times New Roman" w:cs="Times New Roman"/>
          <w:color w:val="000000"/>
          <w:sz w:val="24"/>
          <w:szCs w:val="24"/>
          <w:lang w:val="sq-AL" w:eastAsia="en-GB"/>
        </w:rPr>
        <w:t>. Treguesi i rezultatit 1: “</w:t>
      </w:r>
      <w:r w:rsidRPr="00221487">
        <w:rPr>
          <w:rFonts w:ascii="Times New Roman" w:eastAsia="Times New Roman" w:hAnsi="Times New Roman" w:cs="Times New Roman"/>
          <w:i/>
          <w:iCs/>
          <w:color w:val="000000"/>
          <w:sz w:val="24"/>
          <w:szCs w:val="24"/>
          <w:lang w:val="sq-AL" w:eastAsia="en-GB"/>
        </w:rPr>
        <w:t xml:space="preserve">Rritja e ditëve të maturimit të borxhit të brendshëm në 790 ditë”, objektivi i synuar për vitin 2017 </w:t>
      </w:r>
      <w:r w:rsidRPr="00221487">
        <w:rPr>
          <w:rFonts w:ascii="Times New Roman" w:eastAsia="Times New Roman" w:hAnsi="Times New Roman" w:cs="Times New Roman"/>
          <w:b/>
          <w:color w:val="000000"/>
          <w:sz w:val="24"/>
          <w:szCs w:val="24"/>
          <w:lang w:val="sq-AL" w:eastAsia="en-GB"/>
        </w:rPr>
        <w:t xml:space="preserve">nuk u përmbush </w:t>
      </w:r>
      <w:r w:rsidRPr="00221487">
        <w:rPr>
          <w:rFonts w:ascii="Times New Roman" w:eastAsia="Times New Roman" w:hAnsi="Times New Roman" w:cs="Times New Roman"/>
          <w:bCs/>
          <w:color w:val="000000"/>
          <w:sz w:val="24"/>
          <w:szCs w:val="24"/>
          <w:lang w:val="sq-AL" w:eastAsia="en-GB"/>
        </w:rPr>
        <w:t xml:space="preserve">megjithëse ditët për maturimin e borxhit të brendshëm u rritën nga  780 ditë në vitin 2017 në 783 ditë në vitin 2018, por nuk u përmbush </w:t>
      </w:r>
      <w:r w:rsidRPr="00221487">
        <w:rPr>
          <w:rFonts w:ascii="Times New Roman" w:eastAsia="Times New Roman" w:hAnsi="Times New Roman" w:cs="Times New Roman"/>
          <w:b/>
          <w:bCs/>
          <w:color w:val="000000"/>
          <w:sz w:val="24"/>
          <w:szCs w:val="24"/>
          <w:lang w:val="sq-AL" w:eastAsia="en-GB"/>
        </w:rPr>
        <w:t>vlera e synuar</w:t>
      </w:r>
      <w:r w:rsidRPr="00221487">
        <w:rPr>
          <w:rFonts w:ascii="Times New Roman" w:eastAsia="Times New Roman" w:hAnsi="Times New Roman" w:cs="Times New Roman"/>
          <w:bCs/>
          <w:color w:val="000000"/>
          <w:sz w:val="24"/>
          <w:szCs w:val="24"/>
          <w:lang w:val="sq-AL" w:eastAsia="en-GB"/>
        </w:rPr>
        <w:t xml:space="preserve"> për vitin 2018. </w:t>
      </w:r>
      <w:r w:rsidRPr="00221487">
        <w:rPr>
          <w:rFonts w:ascii="Times New Roman" w:eastAsia="Times New Roman" w:hAnsi="Times New Roman" w:cs="Times New Roman"/>
          <w:color w:val="000000"/>
          <w:sz w:val="24"/>
          <w:szCs w:val="24"/>
          <w:lang w:val="sq-AL" w:eastAsia="en-GB"/>
        </w:rPr>
        <w:t>Treguesi i rezultatit 2: “</w:t>
      </w:r>
      <w:r w:rsidRPr="00221487">
        <w:rPr>
          <w:rFonts w:ascii="Times New Roman" w:eastAsia="Times New Roman" w:hAnsi="Times New Roman" w:cs="Times New Roman"/>
          <w:i/>
          <w:iCs/>
          <w:color w:val="000000"/>
          <w:sz w:val="24"/>
          <w:szCs w:val="24"/>
          <w:lang w:val="sq-AL" w:eastAsia="en-GB"/>
        </w:rPr>
        <w:t>Bilanci fiskal primar pozitiv në një nivel më shumë se  2%</w:t>
      </w:r>
      <w:r w:rsidRPr="00221487">
        <w:rPr>
          <w:rFonts w:ascii="Times New Roman" w:eastAsia="Times New Roman" w:hAnsi="Times New Roman" w:cs="Times New Roman"/>
          <w:color w:val="000000"/>
          <w:sz w:val="24"/>
          <w:szCs w:val="24"/>
          <w:lang w:val="sq-AL" w:eastAsia="en-GB"/>
        </w:rPr>
        <w:t xml:space="preserve">” ka pasur një përmirësim të lehtë, prandaj dhe konsiderohet </w:t>
      </w:r>
      <w:r w:rsidRPr="00221487">
        <w:rPr>
          <w:rFonts w:ascii="Times New Roman" w:eastAsia="Times New Roman" w:hAnsi="Times New Roman" w:cs="Times New Roman"/>
          <w:b/>
          <w:color w:val="000000"/>
          <w:sz w:val="24"/>
          <w:szCs w:val="24"/>
          <w:lang w:val="sq-AL" w:eastAsia="en-GB"/>
        </w:rPr>
        <w:t>si pjesërisht i përmbushur.</w:t>
      </w:r>
    </w:p>
    <w:p w:rsidR="00221487" w:rsidRPr="00221487" w:rsidRDefault="00221487" w:rsidP="00221487">
      <w:pPr>
        <w:spacing w:after="0" w:line="240" w:lineRule="auto"/>
        <w:jc w:val="both"/>
        <w:rPr>
          <w:rFonts w:ascii="Times New Roman" w:eastAsia="Times New Roman" w:hAnsi="Times New Roman" w:cs="Times New Roman"/>
          <w:b/>
          <w:bCs/>
          <w:noProof/>
          <w:color w:val="000000"/>
          <w:sz w:val="24"/>
          <w:szCs w:val="24"/>
          <w:lang w:val="sq-AL" w:eastAsia="en-GB"/>
        </w:rPr>
      </w:pPr>
      <w:r w:rsidRPr="00221487">
        <w:rPr>
          <w:rFonts w:ascii="Times New Roman" w:eastAsia="Times New Roman" w:hAnsi="Times New Roman" w:cs="Times New Roman"/>
          <w:noProof/>
          <w:color w:val="000000"/>
          <w:sz w:val="24"/>
          <w:szCs w:val="24"/>
          <w:lang w:val="sq-AL" w:eastAsia="en-GB"/>
        </w:rPr>
        <w:t xml:space="preserve">Prokurimi Publik </w:t>
      </w:r>
      <w:r w:rsidRPr="00221487">
        <w:rPr>
          <w:rFonts w:ascii="Times New Roman" w:eastAsia="Times New Roman" w:hAnsi="Times New Roman" w:cs="Times New Roman"/>
          <w:b/>
          <w:noProof/>
          <w:color w:val="000000"/>
          <w:sz w:val="24"/>
          <w:szCs w:val="24"/>
          <w:lang w:val="sq-AL" w:eastAsia="en-GB"/>
        </w:rPr>
        <w:t>përbëhet nga dy objektiva</w:t>
      </w:r>
      <w:r w:rsidRPr="00221487">
        <w:rPr>
          <w:rFonts w:ascii="Times New Roman" w:eastAsia="Times New Roman" w:hAnsi="Times New Roman" w:cs="Times New Roman"/>
          <w:b/>
          <w:bCs/>
          <w:noProof/>
          <w:color w:val="000000"/>
          <w:sz w:val="24"/>
          <w:szCs w:val="24"/>
          <w:lang w:val="sq-AL" w:eastAsia="en-GB"/>
        </w:rPr>
        <w:t>: Objektivi 8</w:t>
      </w:r>
      <w:r w:rsidRPr="00221487">
        <w:rPr>
          <w:rFonts w:ascii="Times New Roman" w:eastAsia="Times New Roman" w:hAnsi="Times New Roman" w:cs="Times New Roman"/>
          <w:noProof/>
          <w:color w:val="000000"/>
          <w:sz w:val="24"/>
          <w:szCs w:val="24"/>
          <w:lang w:val="sq-AL" w:eastAsia="en-GB"/>
        </w:rPr>
        <w:t>: “</w:t>
      </w:r>
      <w:r w:rsidRPr="00221487">
        <w:rPr>
          <w:rFonts w:ascii="Times New Roman" w:eastAsia="Times New Roman" w:hAnsi="Times New Roman" w:cs="Times New Roman"/>
          <w:i/>
          <w:iCs/>
          <w:noProof/>
          <w:color w:val="000000"/>
          <w:sz w:val="24"/>
          <w:szCs w:val="24"/>
          <w:lang w:val="sq-AL" w:eastAsia="en-GB"/>
        </w:rPr>
        <w:t xml:space="preserve">Sistemi i prokurimit publik është në përputhje me praktikat e mira të BE-së” </w:t>
      </w:r>
      <w:r w:rsidRPr="00221487">
        <w:rPr>
          <w:rFonts w:ascii="Times New Roman" w:eastAsia="Times New Roman" w:hAnsi="Times New Roman" w:cs="Times New Roman"/>
          <w:noProof/>
          <w:color w:val="000000"/>
          <w:sz w:val="24"/>
          <w:szCs w:val="24"/>
          <w:lang w:val="sq-AL" w:eastAsia="en-GB"/>
        </w:rPr>
        <w:t>me tregues rezultati “</w:t>
      </w:r>
      <w:r w:rsidRPr="00221487">
        <w:rPr>
          <w:rFonts w:ascii="Times New Roman" w:eastAsia="Times New Roman" w:hAnsi="Times New Roman" w:cs="Times New Roman"/>
          <w:i/>
          <w:iCs/>
          <w:noProof/>
          <w:color w:val="000000"/>
          <w:sz w:val="24"/>
          <w:szCs w:val="24"/>
          <w:lang w:val="sq-AL" w:eastAsia="en-GB"/>
        </w:rPr>
        <w:t xml:space="preserve">Organi i shqyrtimit të prokurimit publik funksionon me një sistem, më të pavarur, transparent, efektiv dhe efikas, vlerësohet me 3 pikë (nga 5) ose më shumë në raportet e SIGMA-s për Matjen e Nivelit Bazë” </w:t>
      </w:r>
      <w:r w:rsidRPr="00221487">
        <w:rPr>
          <w:rFonts w:ascii="Times New Roman" w:eastAsia="Times New Roman" w:hAnsi="Times New Roman" w:cs="Times New Roman"/>
          <w:b/>
          <w:bCs/>
          <w:noProof/>
          <w:color w:val="000000"/>
          <w:sz w:val="24"/>
          <w:szCs w:val="24"/>
          <w:lang w:val="sq-AL" w:eastAsia="en-GB"/>
        </w:rPr>
        <w:t xml:space="preserve">për të cilin nuk ka të dhëna. </w:t>
      </w:r>
    </w:p>
    <w:p w:rsidR="00221487" w:rsidRPr="00221487" w:rsidRDefault="00221487" w:rsidP="00221487">
      <w:pPr>
        <w:spacing w:after="0" w:line="240" w:lineRule="auto"/>
        <w:jc w:val="both"/>
        <w:rPr>
          <w:rFonts w:ascii="Times New Roman" w:eastAsia="Times New Roman" w:hAnsi="Times New Roman" w:cs="Times New Roman"/>
          <w:i/>
          <w:iCs/>
          <w:noProof/>
          <w:color w:val="000000"/>
          <w:sz w:val="24"/>
          <w:szCs w:val="24"/>
          <w:lang w:val="sq-AL" w:eastAsia="en-GB"/>
        </w:rPr>
      </w:pPr>
      <w:r w:rsidRPr="00221487">
        <w:rPr>
          <w:rFonts w:ascii="Times New Roman" w:eastAsia="Times New Roman" w:hAnsi="Times New Roman" w:cs="Times New Roman"/>
          <w:b/>
          <w:bCs/>
          <w:noProof/>
          <w:color w:val="000000"/>
          <w:sz w:val="24"/>
          <w:szCs w:val="24"/>
          <w:lang w:val="sq-AL" w:eastAsia="en-GB"/>
        </w:rPr>
        <w:t>Objektivi 9: “</w:t>
      </w:r>
      <w:r w:rsidRPr="00221487">
        <w:rPr>
          <w:rFonts w:ascii="Times New Roman" w:eastAsia="Times New Roman" w:hAnsi="Times New Roman" w:cs="Times New Roman"/>
          <w:i/>
          <w:iCs/>
          <w:noProof/>
          <w:color w:val="000000"/>
          <w:sz w:val="24"/>
          <w:szCs w:val="24"/>
          <w:lang w:val="sq-AL" w:eastAsia="en-GB"/>
        </w:rPr>
        <w:t>Një sistem modern, i qëndrueshëm dhe efektiv për prokurimin publik dhe koncesionet i harmonizuar me kuadrin ligjor dhe institucional të Acquis dhe standardeve e praktikave të mira të BE-së</w:t>
      </w:r>
      <w:r w:rsidRPr="00221487">
        <w:rPr>
          <w:rFonts w:ascii="Times New Roman" w:eastAsia="Times New Roman" w:hAnsi="Times New Roman" w:cs="Times New Roman"/>
          <w:noProof/>
          <w:color w:val="000000"/>
          <w:sz w:val="24"/>
          <w:szCs w:val="24"/>
          <w:lang w:val="sq-AL" w:eastAsia="en-GB"/>
        </w:rPr>
        <w:t>” me tregues rezultati “</w:t>
      </w:r>
      <w:r w:rsidRPr="00221487">
        <w:rPr>
          <w:rFonts w:ascii="Times New Roman" w:eastAsia="Times New Roman" w:hAnsi="Times New Roman" w:cs="Times New Roman"/>
          <w:i/>
          <w:iCs/>
          <w:noProof/>
          <w:color w:val="000000"/>
          <w:sz w:val="24"/>
          <w:szCs w:val="24"/>
          <w:lang w:val="sq-AL" w:eastAsia="en-GB"/>
        </w:rPr>
        <w:t xml:space="preserve">Përqindja e rasteve kur organi i shqyrtimit tejkalon afatet kohore maksimale të shqyrtimit është nën 10%” </w:t>
      </w:r>
      <w:r w:rsidRPr="00221487">
        <w:rPr>
          <w:rFonts w:ascii="Times New Roman" w:eastAsia="Times New Roman" w:hAnsi="Times New Roman" w:cs="Times New Roman"/>
          <w:b/>
          <w:bCs/>
          <w:noProof/>
          <w:color w:val="000000"/>
          <w:sz w:val="24"/>
          <w:szCs w:val="24"/>
          <w:lang w:val="sq-AL" w:eastAsia="en-GB"/>
        </w:rPr>
        <w:t>u përmbush</w:t>
      </w:r>
      <w:r w:rsidRPr="00221487">
        <w:rPr>
          <w:rFonts w:ascii="Times New Roman" w:eastAsia="Times New Roman" w:hAnsi="Times New Roman" w:cs="Times New Roman"/>
          <w:i/>
          <w:iCs/>
          <w:noProof/>
          <w:color w:val="000000"/>
          <w:sz w:val="24"/>
          <w:szCs w:val="24"/>
          <w:lang w:val="sq-AL" w:eastAsia="en-GB"/>
        </w:rPr>
        <w:t>.</w:t>
      </w:r>
    </w:p>
    <w:p w:rsidR="00221487" w:rsidRPr="00221487" w:rsidRDefault="00221487" w:rsidP="00221487">
      <w:pPr>
        <w:spacing w:after="0" w:line="240" w:lineRule="auto"/>
        <w:jc w:val="both"/>
        <w:rPr>
          <w:rFonts w:ascii="Times New Roman" w:eastAsia="Times" w:hAnsi="Times New Roman" w:cs="Times New Roman"/>
          <w:noProof/>
          <w:sz w:val="24"/>
          <w:szCs w:val="24"/>
          <w:highlight w:val="yellow"/>
          <w:lang w:val="sq-AL"/>
        </w:rPr>
      </w:pPr>
      <w:r w:rsidRPr="00221487">
        <w:rPr>
          <w:rFonts w:ascii="Times New Roman" w:eastAsia="Times New Roman" w:hAnsi="Times New Roman" w:cs="Times New Roman"/>
          <w:b/>
          <w:noProof/>
          <w:sz w:val="24"/>
          <w:szCs w:val="24"/>
          <w:lang w:val="sq-AL"/>
        </w:rPr>
        <w:t>Objektivi</w:t>
      </w:r>
      <w:r w:rsidRPr="00221487">
        <w:rPr>
          <w:rFonts w:ascii="Times New Roman" w:eastAsia="Times New Roman" w:hAnsi="Times New Roman" w:cs="Times New Roman"/>
          <w:noProof/>
          <w:sz w:val="24"/>
          <w:szCs w:val="24"/>
          <w:lang w:val="sq-AL"/>
        </w:rPr>
        <w:t xml:space="preserve"> i dhjetë dhe </w:t>
      </w:r>
      <w:r w:rsidRPr="00221487">
        <w:rPr>
          <w:rFonts w:ascii="Times New Roman" w:eastAsia="Times New Roman" w:hAnsi="Times New Roman" w:cs="Times New Roman"/>
          <w:b/>
          <w:noProof/>
          <w:sz w:val="24"/>
          <w:szCs w:val="24"/>
          <w:lang w:val="sq-AL"/>
        </w:rPr>
        <w:t>i fundit</w:t>
      </w:r>
      <w:r w:rsidRPr="00221487">
        <w:rPr>
          <w:rFonts w:ascii="Times New Roman" w:eastAsia="Times New Roman" w:hAnsi="Times New Roman" w:cs="Times New Roman"/>
          <w:noProof/>
          <w:sz w:val="24"/>
          <w:szCs w:val="24"/>
          <w:lang w:val="sq-AL"/>
        </w:rPr>
        <w:t xml:space="preserve"> i kësaj Shtylle është: “</w:t>
      </w:r>
      <w:r w:rsidRPr="00221487">
        <w:rPr>
          <w:rFonts w:ascii="Times New Roman" w:eastAsia="Times" w:hAnsi="Times New Roman" w:cs="Times New Roman"/>
          <w:i/>
          <w:noProof/>
          <w:sz w:val="24"/>
          <w:szCs w:val="24"/>
          <w:lang w:val="sq-AL"/>
        </w:rPr>
        <w:t xml:space="preserve">Plotësimi i regjistrit të aseteve përfshirë rregullat për vlerësimin dhe zhvlerësimin sipas standardeve kombëtare” </w:t>
      </w:r>
      <w:r w:rsidRPr="00221487">
        <w:rPr>
          <w:rFonts w:ascii="Times New Roman" w:eastAsia="Times" w:hAnsi="Times New Roman" w:cs="Times New Roman"/>
          <w:noProof/>
          <w:sz w:val="24"/>
          <w:szCs w:val="24"/>
          <w:lang w:val="sq-AL"/>
        </w:rPr>
        <w:t xml:space="preserve">me tregues rezultati “Asetet publike regjistrohen në SIFQ për të paktën pesë institucione buxhetore” </w:t>
      </w:r>
      <w:r w:rsidRPr="00221487">
        <w:rPr>
          <w:rFonts w:ascii="Times New Roman" w:eastAsia="Times" w:hAnsi="Times New Roman" w:cs="Times New Roman"/>
          <w:b/>
          <w:noProof/>
          <w:sz w:val="24"/>
          <w:szCs w:val="24"/>
          <w:lang w:val="sq-AL"/>
        </w:rPr>
        <w:t>u përmbush</w:t>
      </w:r>
      <w:r w:rsidRPr="00221487">
        <w:rPr>
          <w:rFonts w:ascii="Times New Roman" w:eastAsia="Times" w:hAnsi="Times New Roman" w:cs="Times New Roman"/>
          <w:noProof/>
          <w:sz w:val="24"/>
          <w:szCs w:val="24"/>
          <w:lang w:val="sq-AL"/>
        </w:rPr>
        <w:t xml:space="preserve">, pasi asetet në vitin 2017 u regjistruan në 6 IB duke tejkaluar objektivin e synuar për vitin 2020.  </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Në nivel aktiviteti, </w:t>
      </w:r>
      <w:r w:rsidRPr="00221487">
        <w:rPr>
          <w:rFonts w:ascii="Times New Roman" w:eastAsia="Times New Roman" w:hAnsi="Times New Roman" w:cs="Times New Roman"/>
          <w:b/>
          <w:noProof/>
          <w:sz w:val="24"/>
          <w:szCs w:val="24"/>
          <w:lang w:val="sq-AL"/>
        </w:rPr>
        <w:t>kjo Shtyllë përbëhet nga</w:t>
      </w:r>
      <w:r w:rsidRPr="00221487">
        <w:rPr>
          <w:rFonts w:ascii="Times New Roman" w:eastAsia="Times New Roman" w:hAnsi="Times New Roman" w:cs="Times New Roman"/>
          <w:noProof/>
          <w:sz w:val="24"/>
          <w:szCs w:val="24"/>
          <w:lang w:val="sq-AL"/>
        </w:rPr>
        <w:t xml:space="preserve"> </w:t>
      </w:r>
      <w:r w:rsidRPr="00221487">
        <w:rPr>
          <w:rFonts w:ascii="Times New Roman" w:eastAsia="Times New Roman" w:hAnsi="Times New Roman" w:cs="Times New Roman"/>
          <w:b/>
          <w:noProof/>
          <w:sz w:val="24"/>
          <w:szCs w:val="24"/>
          <w:lang w:val="sq-AL"/>
        </w:rPr>
        <w:t>24 masa, ku gjashtë janë plotësuar</w:t>
      </w:r>
      <w:r w:rsidRPr="00221487">
        <w:rPr>
          <w:rFonts w:ascii="Times New Roman" w:eastAsia="Times New Roman" w:hAnsi="Times New Roman" w:cs="Times New Roman"/>
          <w:noProof/>
          <w:sz w:val="24"/>
          <w:szCs w:val="24"/>
          <w:lang w:val="sq-AL"/>
        </w:rPr>
        <w:t xml:space="preserve"> dhe 18 janë në proces. (Graf. 6).</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Graf. 6. Shtylla 3- Ekzekutimi efikas i buxhetit </w:t>
      </w:r>
    </w:p>
    <w:tbl>
      <w:tblPr>
        <w:tblW w:w="9038" w:type="dxa"/>
        <w:tblBorders>
          <w:top w:val="single" w:sz="4" w:space="0" w:color="auto"/>
          <w:bottom w:val="single" w:sz="4" w:space="0" w:color="auto"/>
        </w:tblBorders>
        <w:tblLayout w:type="fixed"/>
        <w:tblLook w:val="04A0" w:firstRow="1" w:lastRow="0" w:firstColumn="1" w:lastColumn="0" w:noHBand="0" w:noVBand="1"/>
      </w:tblPr>
      <w:tblGrid>
        <w:gridCol w:w="6062"/>
        <w:gridCol w:w="2976"/>
      </w:tblGrid>
      <w:tr w:rsidR="00221487" w:rsidRPr="00221487" w:rsidTr="004342D7">
        <w:trPr>
          <w:trHeight w:val="3653"/>
        </w:trPr>
        <w:tc>
          <w:tcPr>
            <w:tcW w:w="6062" w:type="dxa"/>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Statusi i aktiviteteve për vitin 2018</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New Roman" w:hAnsi="Times New Roman" w:cs="Times New Roman"/>
                <w:noProof/>
                <w:sz w:val="24"/>
                <w:szCs w:val="24"/>
              </w:rPr>
              <w:drawing>
                <wp:inline distT="0" distB="0" distL="0" distR="0" wp14:anchorId="6BE31FCB" wp14:editId="03479268">
                  <wp:extent cx="3552825" cy="2009775"/>
                  <wp:effectExtent l="0" t="0" r="9525" b="9525"/>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c>
          <w:tcPr>
            <w:tcW w:w="2976" w:type="dxa"/>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p>
          <w:tbl>
            <w:tblPr>
              <w:tblW w:w="2302" w:type="dxa"/>
              <w:tblLayout w:type="fixed"/>
              <w:tblLook w:val="04A0" w:firstRow="1" w:lastRow="0" w:firstColumn="1" w:lastColumn="0" w:noHBand="0" w:noVBand="1"/>
            </w:tblPr>
            <w:tblGrid>
              <w:gridCol w:w="1769"/>
              <w:gridCol w:w="533"/>
            </w:tblGrid>
            <w:tr w:rsidR="00221487" w:rsidRPr="00221487" w:rsidTr="004342D7">
              <w:trPr>
                <w:trHeight w:val="315"/>
              </w:trPr>
              <w:tc>
                <w:tcPr>
                  <w:tcW w:w="2302" w:type="dxa"/>
                  <w:gridSpan w:val="2"/>
                  <w:tcBorders>
                    <w:top w:val="nil"/>
                    <w:left w:val="nil"/>
                    <w:bottom w:val="single" w:sz="8" w:space="0" w:color="auto"/>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eastAsia="sq-AL"/>
                    </w:rPr>
                  </w:pPr>
                  <w:r w:rsidRPr="00221487">
                    <w:rPr>
                      <w:rFonts w:ascii="Times New Roman" w:eastAsia="Times New Roman" w:hAnsi="Times New Roman" w:cs="Times New Roman"/>
                      <w:noProof/>
                      <w:sz w:val="24"/>
                      <w:szCs w:val="24"/>
                      <w:lang w:val="sq-AL" w:eastAsia="sq-AL"/>
                    </w:rPr>
                    <w:t>Nr. i aktiviteteve</w:t>
                  </w:r>
                </w:p>
              </w:tc>
            </w:tr>
            <w:tr w:rsidR="00221487" w:rsidRPr="00221487" w:rsidTr="004342D7">
              <w:trPr>
                <w:trHeight w:val="300"/>
              </w:trPr>
              <w:tc>
                <w:tcPr>
                  <w:tcW w:w="1769" w:type="dxa"/>
                  <w:tcBorders>
                    <w:top w:val="nil"/>
                    <w:left w:val="nil"/>
                    <w:bottom w:val="nil"/>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eastAsia="sq-AL"/>
                    </w:rPr>
                  </w:pPr>
                  <w:r w:rsidRPr="00221487">
                    <w:rPr>
                      <w:rFonts w:ascii="Times New Roman" w:eastAsia="Times New Roman" w:hAnsi="Times New Roman" w:cs="Times New Roman"/>
                      <w:noProof/>
                      <w:sz w:val="24"/>
                      <w:szCs w:val="24"/>
                      <w:lang w:val="sq-AL" w:eastAsia="sq-AL"/>
                    </w:rPr>
                    <w:t>Të plotësuara</w:t>
                  </w:r>
                </w:p>
              </w:tc>
              <w:tc>
                <w:tcPr>
                  <w:tcW w:w="533" w:type="dxa"/>
                  <w:tcBorders>
                    <w:top w:val="nil"/>
                    <w:left w:val="nil"/>
                    <w:bottom w:val="nil"/>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eastAsia="sq-AL"/>
                    </w:rPr>
                  </w:pPr>
                  <w:r w:rsidRPr="00221487">
                    <w:rPr>
                      <w:rFonts w:ascii="Times New Roman" w:eastAsia="Times New Roman" w:hAnsi="Times New Roman" w:cs="Times New Roman"/>
                      <w:noProof/>
                      <w:sz w:val="24"/>
                      <w:szCs w:val="24"/>
                      <w:lang w:val="sq-AL" w:eastAsia="sq-AL"/>
                    </w:rPr>
                    <w:t>6</w:t>
                  </w:r>
                </w:p>
              </w:tc>
            </w:tr>
            <w:tr w:rsidR="00221487" w:rsidRPr="00221487" w:rsidTr="004342D7">
              <w:trPr>
                <w:trHeight w:val="315"/>
              </w:trPr>
              <w:tc>
                <w:tcPr>
                  <w:tcW w:w="1769" w:type="dxa"/>
                  <w:tcBorders>
                    <w:top w:val="nil"/>
                    <w:left w:val="nil"/>
                    <w:bottom w:val="nil"/>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eastAsia="sq-AL"/>
                    </w:rPr>
                  </w:pPr>
                  <w:r w:rsidRPr="00221487">
                    <w:rPr>
                      <w:rFonts w:ascii="Times New Roman" w:eastAsia="Times New Roman" w:hAnsi="Times New Roman" w:cs="Times New Roman"/>
                      <w:noProof/>
                      <w:sz w:val="24"/>
                      <w:szCs w:val="24"/>
                      <w:lang w:val="sq-AL" w:eastAsia="sq-AL"/>
                    </w:rPr>
                    <w:t>Në proces</w:t>
                  </w:r>
                </w:p>
              </w:tc>
              <w:tc>
                <w:tcPr>
                  <w:tcW w:w="533" w:type="dxa"/>
                  <w:tcBorders>
                    <w:top w:val="nil"/>
                    <w:left w:val="nil"/>
                    <w:bottom w:val="nil"/>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eastAsia="sq-AL"/>
                    </w:rPr>
                  </w:pPr>
                  <w:r w:rsidRPr="00221487">
                    <w:rPr>
                      <w:rFonts w:ascii="Times New Roman" w:eastAsia="Times New Roman" w:hAnsi="Times New Roman" w:cs="Times New Roman"/>
                      <w:noProof/>
                      <w:sz w:val="24"/>
                      <w:szCs w:val="24"/>
                      <w:lang w:val="sq-AL" w:eastAsia="sq-AL"/>
                    </w:rPr>
                    <w:t>18</w:t>
                  </w:r>
                </w:p>
              </w:tc>
            </w:tr>
            <w:tr w:rsidR="00221487" w:rsidRPr="00221487" w:rsidTr="004342D7">
              <w:trPr>
                <w:trHeight w:val="315"/>
              </w:trPr>
              <w:tc>
                <w:tcPr>
                  <w:tcW w:w="1769" w:type="dxa"/>
                  <w:tcBorders>
                    <w:top w:val="nil"/>
                    <w:left w:val="nil"/>
                    <w:bottom w:val="single" w:sz="8" w:space="0" w:color="auto"/>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eastAsia="sq-AL"/>
                    </w:rPr>
                  </w:pPr>
                  <w:r w:rsidRPr="00221487">
                    <w:rPr>
                      <w:rFonts w:ascii="Times New Roman" w:eastAsia="Times New Roman" w:hAnsi="Times New Roman" w:cs="Times New Roman"/>
                      <w:noProof/>
                      <w:sz w:val="24"/>
                      <w:szCs w:val="24"/>
                      <w:lang w:val="sq-AL" w:eastAsia="sq-AL"/>
                    </w:rPr>
                    <w:t>Nuk kanë filluar</w:t>
                  </w:r>
                </w:p>
              </w:tc>
              <w:tc>
                <w:tcPr>
                  <w:tcW w:w="533" w:type="dxa"/>
                  <w:tcBorders>
                    <w:top w:val="nil"/>
                    <w:left w:val="nil"/>
                    <w:bottom w:val="single" w:sz="8" w:space="0" w:color="auto"/>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eastAsia="sq-AL"/>
                    </w:rPr>
                  </w:pPr>
                  <w:r w:rsidRPr="00221487">
                    <w:rPr>
                      <w:rFonts w:ascii="Times New Roman" w:eastAsia="Times New Roman" w:hAnsi="Times New Roman" w:cs="Times New Roman"/>
                      <w:noProof/>
                      <w:sz w:val="24"/>
                      <w:szCs w:val="24"/>
                      <w:lang w:val="sq-AL" w:eastAsia="sq-AL"/>
                    </w:rPr>
                    <w:t>0</w:t>
                  </w:r>
                </w:p>
              </w:tc>
            </w:tr>
            <w:tr w:rsidR="00221487" w:rsidRPr="00221487" w:rsidTr="004342D7">
              <w:trPr>
                <w:trHeight w:val="300"/>
              </w:trPr>
              <w:tc>
                <w:tcPr>
                  <w:tcW w:w="1769" w:type="dxa"/>
                  <w:tcBorders>
                    <w:top w:val="nil"/>
                    <w:left w:val="nil"/>
                    <w:bottom w:val="nil"/>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eastAsia="sq-AL"/>
                    </w:rPr>
                  </w:pPr>
                </w:p>
              </w:tc>
              <w:tc>
                <w:tcPr>
                  <w:tcW w:w="533" w:type="dxa"/>
                  <w:tcBorders>
                    <w:top w:val="nil"/>
                    <w:left w:val="nil"/>
                    <w:bottom w:val="nil"/>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eastAsia="sq-AL"/>
                    </w:rPr>
                  </w:pPr>
                  <w:r w:rsidRPr="00221487">
                    <w:rPr>
                      <w:rFonts w:ascii="Times New Roman" w:eastAsia="Times New Roman" w:hAnsi="Times New Roman" w:cs="Times New Roman"/>
                      <w:noProof/>
                      <w:sz w:val="24"/>
                      <w:szCs w:val="24"/>
                      <w:lang w:val="sq-AL" w:eastAsia="sq-AL"/>
                    </w:rPr>
                    <w:t>24</w:t>
                  </w:r>
                </w:p>
              </w:tc>
            </w:tr>
          </w:tbl>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p>
        </w:tc>
      </w:tr>
    </w:tbl>
    <w:p w:rsidR="00221487" w:rsidRPr="00221487" w:rsidRDefault="00221487" w:rsidP="00221487">
      <w:pPr>
        <w:spacing w:after="0" w:line="240" w:lineRule="auto"/>
        <w:jc w:val="both"/>
        <w:rPr>
          <w:rFonts w:ascii="Times New Roman" w:eastAsia="Times" w:hAnsi="Times New Roman" w:cs="Times New Roman"/>
          <w:noProof/>
          <w:sz w:val="24"/>
          <w:szCs w:val="24"/>
          <w:highlight w:val="yellow"/>
          <w:lang w:val="sq-AL"/>
        </w:rPr>
      </w:pPr>
    </w:p>
    <w:p w:rsidR="00221487" w:rsidRPr="00221487" w:rsidRDefault="00221487" w:rsidP="00221487">
      <w:pPr>
        <w:spacing w:after="0" w:line="240" w:lineRule="auto"/>
        <w:jc w:val="both"/>
        <w:rPr>
          <w:rFonts w:ascii="Times New Roman" w:eastAsia="Times New Roman" w:hAnsi="Times New Roman" w:cs="Times New Roman"/>
          <w:noProof/>
          <w:sz w:val="24"/>
          <w:szCs w:val="24"/>
          <w:highlight w:val="yellow"/>
          <w:lang w:val="sq-AL"/>
        </w:rPr>
      </w:pPr>
      <w:r w:rsidRPr="00221487">
        <w:rPr>
          <w:rFonts w:ascii="Times New Roman" w:eastAsia="Times New Roman" w:hAnsi="Times New Roman" w:cs="Times New Roman"/>
          <w:b/>
          <w:noProof/>
          <w:sz w:val="24"/>
          <w:szCs w:val="24"/>
          <w:lang w:val="sq-AL"/>
        </w:rPr>
        <w:t>Produktet dhe sfidat</w:t>
      </w:r>
      <w:r w:rsidRPr="00221487">
        <w:rPr>
          <w:rFonts w:ascii="Times New Roman" w:eastAsia="Times New Roman" w:hAnsi="Times New Roman" w:cs="Times New Roman"/>
          <w:noProof/>
          <w:sz w:val="24"/>
          <w:szCs w:val="24"/>
          <w:lang w:val="sq-AL"/>
        </w:rPr>
        <w:t xml:space="preserve"> e masave janë si më poshtë: </w:t>
      </w:r>
    </w:p>
    <w:p w:rsidR="00221487" w:rsidRPr="00221487" w:rsidRDefault="00221487" w:rsidP="00221487">
      <w:pPr>
        <w:spacing w:after="0" w:line="240" w:lineRule="auto"/>
        <w:jc w:val="both"/>
        <w:rPr>
          <w:rFonts w:ascii="Times New Roman" w:eastAsia="Times" w:hAnsi="Times New Roman" w:cs="Times New Roman"/>
          <w:noProof/>
          <w:sz w:val="24"/>
          <w:szCs w:val="24"/>
          <w:highlight w:val="yellow"/>
          <w:lang w:val="sq-AL"/>
        </w:rPr>
      </w:pP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i/>
          <w:noProof/>
          <w:sz w:val="24"/>
          <w:szCs w:val="24"/>
          <w:lang w:val="sq-AL"/>
        </w:rPr>
        <w:t>Zbatimi i menaxhimit të përputhshmërisë së riskut në mbledhjen e taksave (e plotësuar):</w:t>
      </w:r>
      <w:r w:rsidRPr="00221487">
        <w:rPr>
          <w:rFonts w:ascii="Times New Roman" w:eastAsia="Times" w:hAnsi="Times New Roman" w:cs="Times New Roman"/>
          <w:noProof/>
          <w:sz w:val="24"/>
          <w:szCs w:val="24"/>
          <w:lang w:val="sq-AL"/>
        </w:rPr>
        <w:t xml:space="preserve"> Gjatë vitit 2018, Manuali për Menaxhimin e Riskut pësoi ndryshime. Një produkt tjetër i rëndësishëm ishte rekrutimi, trajnimi dhe monitorimi i stafit, i cili është realizuar për të garantuar se qasja e re prodhon </w:t>
      </w:r>
      <w:r w:rsidRPr="00221487">
        <w:rPr>
          <w:rFonts w:ascii="Times New Roman" w:eastAsia="Times" w:hAnsi="Times New Roman" w:cs="Times New Roman"/>
          <w:noProof/>
          <w:sz w:val="24"/>
          <w:szCs w:val="24"/>
          <w:lang w:val="sq-AL"/>
        </w:rPr>
        <w:lastRenderedPageBreak/>
        <w:t xml:space="preserve">rezultate. U aprovua dhe u vu në zbatim një plan për sezonin turistik për monitorimin e aktiviteteve turistike dhe të pajtueshmërisë me menaxhimin e riskut për vitin 2018. Ky plan fokusohej më shumë në ndërgjegjësimin e publikut dhe në informimin e gjithë tatimpaguesve dhe individëve për legjislacionin tatimor në fuqi. </w:t>
      </w:r>
    </w:p>
    <w:p w:rsidR="00221487" w:rsidRPr="00221487" w:rsidRDefault="00221487" w:rsidP="00221487">
      <w:pPr>
        <w:spacing w:after="0" w:line="240" w:lineRule="auto"/>
        <w:jc w:val="both"/>
        <w:rPr>
          <w:rFonts w:ascii="Times New Roman" w:eastAsia="Times" w:hAnsi="Times New Roman" w:cs="Times New Roman"/>
          <w:noProof/>
          <w:sz w:val="24"/>
          <w:szCs w:val="24"/>
          <w:highlight w:val="yellow"/>
          <w:lang w:val="sq-AL"/>
        </w:rPr>
      </w:pPr>
    </w:p>
    <w:p w:rsidR="00221487" w:rsidRPr="00221487" w:rsidRDefault="00221487" w:rsidP="00221487">
      <w:pPr>
        <w:spacing w:after="0" w:line="240" w:lineRule="auto"/>
        <w:jc w:val="both"/>
        <w:rPr>
          <w:rFonts w:ascii="Times New Roman" w:eastAsia="Times New Roman" w:hAnsi="Times New Roman" w:cs="Times New Roman"/>
          <w:noProof/>
          <w:sz w:val="24"/>
          <w:szCs w:val="24"/>
          <w:highlight w:val="yellow"/>
          <w:lang w:val="sq-AL"/>
        </w:rPr>
      </w:pPr>
      <w:r w:rsidRPr="00221487">
        <w:rPr>
          <w:rFonts w:ascii="Times New Roman" w:eastAsia="Times" w:hAnsi="Times New Roman" w:cs="Times New Roman"/>
          <w:i/>
          <w:noProof/>
          <w:sz w:val="24"/>
          <w:szCs w:val="24"/>
          <w:lang w:val="sq-AL"/>
        </w:rPr>
        <w:t>Krijimi i kadastrës fiskale të pronave (në proces)</w:t>
      </w:r>
      <w:r w:rsidRPr="00221487">
        <w:rPr>
          <w:rFonts w:ascii="Times New Roman" w:eastAsia="Times" w:hAnsi="Times New Roman" w:cs="Times New Roman"/>
          <w:noProof/>
          <w:sz w:val="24"/>
          <w:szCs w:val="24"/>
          <w:lang w:val="sq-AL"/>
        </w:rPr>
        <w:t xml:space="preserve">: </w:t>
      </w:r>
      <w:r w:rsidRPr="00221487">
        <w:rPr>
          <w:rFonts w:ascii="Times New Roman" w:eastAsia="Times New Roman" w:hAnsi="Times New Roman" w:cs="Times New Roman"/>
          <w:noProof/>
          <w:sz w:val="24"/>
          <w:szCs w:val="24"/>
          <w:lang w:val="sq-AL"/>
        </w:rPr>
        <w:t xml:space="preserve">gjatë vitit 2018, ka filluar punën një projekt nga Agjencia Suedeze për Bashkëpunim e Zhvillim Ndërkombëtar (SIDA), për të krijuar kadastrën fiskale në të gjitha bashkitë (61). Në Ministrinë e Financës dhe Ekonomisë u krijua Drejtoria për Taksën e Pasurisë. Gjatë vitit 2018, MFE-ja rishikoi kuadrin ligjor dhe plotësoi aktet nënligjore që lidhen me ligjin të ri të taksës mbi pronën. </w:t>
      </w:r>
    </w:p>
    <w:p w:rsidR="00221487" w:rsidRPr="00221487" w:rsidRDefault="00221487" w:rsidP="00221487">
      <w:pPr>
        <w:spacing w:after="0" w:line="240" w:lineRule="auto"/>
        <w:jc w:val="both"/>
        <w:rPr>
          <w:rFonts w:ascii="Times New Roman" w:eastAsia="Times New Roman" w:hAnsi="Times New Roman" w:cs="Times New Roman"/>
          <w:noProof/>
          <w:sz w:val="24"/>
          <w:szCs w:val="24"/>
          <w:highlight w:val="yellow"/>
          <w:lang w:val="sq-AL"/>
        </w:rPr>
      </w:pP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i/>
          <w:noProof/>
          <w:sz w:val="24"/>
          <w:szCs w:val="24"/>
          <w:lang w:val="sq-AL"/>
        </w:rPr>
        <w:t>Asistencë ndaj tatimapaguesve për të rritur pajtimin vullnetar (</w:t>
      </w:r>
      <w:r w:rsidRPr="00221487">
        <w:rPr>
          <w:rFonts w:ascii="Times New Roman" w:eastAsia="Times" w:hAnsi="Times New Roman" w:cs="Times New Roman"/>
          <w:i/>
          <w:noProof/>
          <w:sz w:val="24"/>
          <w:szCs w:val="24"/>
          <w:lang w:val="sq-AL"/>
        </w:rPr>
        <w:t>e plotësuar)</w:t>
      </w:r>
      <w:r w:rsidRPr="00221487">
        <w:rPr>
          <w:rFonts w:ascii="Times New Roman" w:eastAsia="Times New Roman" w:hAnsi="Times New Roman" w:cs="Times New Roman"/>
          <w:noProof/>
          <w:sz w:val="24"/>
          <w:szCs w:val="24"/>
          <w:lang w:val="sq-AL"/>
        </w:rPr>
        <w:t xml:space="preserve">: u organizuan dy fushata ndërgjegjësimi për subjektet e biznesit që janë pjesë e skemës së TVSH-së dhe fushata ndërgjegjësimi për subjektet që operojnë në fushën e turizmit. </w:t>
      </w:r>
    </w:p>
    <w:p w:rsidR="00221487" w:rsidRPr="00221487" w:rsidRDefault="00221487" w:rsidP="00221487">
      <w:pPr>
        <w:spacing w:after="0" w:line="240" w:lineRule="auto"/>
        <w:jc w:val="both"/>
        <w:rPr>
          <w:rFonts w:ascii="Times New Roman" w:eastAsia="Times New Roman" w:hAnsi="Times New Roman" w:cs="Times New Roman"/>
          <w:noProof/>
          <w:sz w:val="24"/>
          <w:szCs w:val="24"/>
          <w:highlight w:val="yellow"/>
          <w:lang w:val="sq-AL"/>
        </w:rPr>
      </w:pP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i/>
          <w:noProof/>
          <w:sz w:val="24"/>
          <w:szCs w:val="24"/>
          <w:lang w:val="sq-AL"/>
        </w:rPr>
        <w:t>Përmirësimi i menaxhimit të borxhit (në proces/ sipas planit):</w:t>
      </w:r>
      <w:r w:rsidRPr="00221487">
        <w:rPr>
          <w:rFonts w:ascii="Times New Roman" w:eastAsia="Times New Roman" w:hAnsi="Times New Roman" w:cs="Times New Roman"/>
          <w:noProof/>
          <w:sz w:val="24"/>
          <w:szCs w:val="24"/>
          <w:lang w:val="sq-AL"/>
        </w:rPr>
        <w:t xml:space="preserve">  DPTH ka kërkuar ndryshime ligjore të kuadrit për të përmirësuar proceset e punës. Disa prej propozimeve janë marrë në konsideratë dhe kanë hyrë në fuqi me paketën e re fiskale më  01.01.2019. Raportet për Borxhin janë rishikuar herë pas herë dhe është e nevojshme të bëhen ndryshime në sistem për pasaktësitë që janë evidentuar. Gjatë vitit 2017 – 2018, për një periudhë dyvjeçare u zbatua Plani i Veprimit për Menaxhimin e Borxhit, mbështetur në rekomandimet e FMN-së. </w:t>
      </w:r>
    </w:p>
    <w:p w:rsidR="00221487" w:rsidRPr="00221487" w:rsidRDefault="00221487" w:rsidP="00221487">
      <w:pPr>
        <w:spacing w:after="0" w:line="240" w:lineRule="auto"/>
        <w:jc w:val="both"/>
        <w:rPr>
          <w:rFonts w:ascii="Times New Roman" w:eastAsia="Times New Roman" w:hAnsi="Times New Roman" w:cs="Times New Roman"/>
          <w:b/>
          <w:noProof/>
          <w:sz w:val="24"/>
          <w:szCs w:val="24"/>
          <w:highlight w:val="yellow"/>
          <w:lang w:val="sq-AL"/>
        </w:rPr>
      </w:pPr>
    </w:p>
    <w:p w:rsidR="00221487" w:rsidRPr="00221487" w:rsidRDefault="00221487" w:rsidP="00221487">
      <w:pPr>
        <w:autoSpaceDE w:val="0"/>
        <w:autoSpaceDN w:val="0"/>
        <w:adjustRightInd w:val="0"/>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color w:val="000000"/>
          <w:sz w:val="24"/>
          <w:szCs w:val="24"/>
          <w:lang w:val="sq-AL" w:eastAsia="en-GB"/>
        </w:rPr>
        <w:t xml:space="preserve">Në lidhje me </w:t>
      </w:r>
      <w:r w:rsidRPr="00221487">
        <w:rPr>
          <w:rFonts w:ascii="Times New Roman" w:eastAsia="Times New Roman" w:hAnsi="Times New Roman" w:cs="Times New Roman"/>
          <w:b/>
          <w:noProof/>
          <w:color w:val="000000"/>
          <w:sz w:val="24"/>
          <w:szCs w:val="24"/>
          <w:lang w:val="sq-AL" w:eastAsia="en-GB"/>
        </w:rPr>
        <w:t>doganat</w:t>
      </w:r>
      <w:r w:rsidRPr="00221487">
        <w:rPr>
          <w:rFonts w:ascii="Times New Roman" w:eastAsia="Times New Roman" w:hAnsi="Times New Roman" w:cs="Times New Roman"/>
          <w:noProof/>
          <w:color w:val="000000"/>
          <w:sz w:val="24"/>
          <w:szCs w:val="24"/>
          <w:lang w:val="sq-AL" w:eastAsia="en-GB"/>
        </w:rPr>
        <w:t xml:space="preserve">, </w:t>
      </w:r>
      <w:r w:rsidRPr="00221487">
        <w:rPr>
          <w:rFonts w:ascii="Times New Roman" w:eastAsia="Times New Roman" w:hAnsi="Times New Roman" w:cs="Times New Roman"/>
          <w:i/>
          <w:iCs/>
          <w:noProof/>
          <w:color w:val="000000"/>
          <w:sz w:val="24"/>
          <w:szCs w:val="24"/>
          <w:lang w:val="sq-AL" w:eastAsia="en-GB"/>
        </w:rPr>
        <w:t>Rritja e efikasitetit të ofrimit të shërbimeve në pikat e kontrollit të kalimit kufitar (në proces/me vonesë)</w:t>
      </w:r>
      <w:r w:rsidRPr="00221487">
        <w:rPr>
          <w:rFonts w:ascii="Times New Roman" w:eastAsia="Times New Roman" w:hAnsi="Times New Roman" w:cs="Times New Roman"/>
          <w:noProof/>
          <w:color w:val="000000"/>
          <w:sz w:val="24"/>
          <w:szCs w:val="24"/>
          <w:lang w:val="sq-AL" w:eastAsia="en-GB"/>
        </w:rPr>
        <w:t xml:space="preserve">: manifesta detare, manifesta ajrore, manifesta e postës ekspres vijnë elektronikisht. Investimet më të mëdha në pikat e kalimit kufitar kanë ndihmuar në përmirësimin e shërbimeve për qytetarët dhe bizneset. </w:t>
      </w:r>
    </w:p>
    <w:p w:rsidR="00221487" w:rsidRPr="00221487" w:rsidRDefault="00221487" w:rsidP="00221487">
      <w:pPr>
        <w:autoSpaceDE w:val="0"/>
        <w:autoSpaceDN w:val="0"/>
        <w:adjustRightInd w:val="0"/>
        <w:spacing w:after="0" w:line="240" w:lineRule="auto"/>
        <w:jc w:val="both"/>
        <w:rPr>
          <w:rFonts w:ascii="Times New Roman" w:eastAsia="Times New Roman" w:hAnsi="Times New Roman" w:cs="Times New Roman"/>
          <w:noProof/>
          <w:sz w:val="24"/>
          <w:szCs w:val="24"/>
          <w:lang w:val="sq-AL"/>
        </w:rPr>
      </w:pP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i/>
          <w:noProof/>
          <w:sz w:val="24"/>
          <w:szCs w:val="24"/>
          <w:lang w:val="sq-AL"/>
        </w:rPr>
        <w:t xml:space="preserve">Prezantimi i procedurave doganore elektronike për të thjeshtuar pajtueshmërinë si dhe dispozitave që prezantojnë procedurat doganore për Operatorët e Autorizuar Ekonomik ("OAE"), përfshirë eliminimin e centralizuar (në proces/me vonesë): </w:t>
      </w:r>
      <w:r w:rsidRPr="00221487">
        <w:rPr>
          <w:rFonts w:ascii="Times New Roman" w:eastAsia="Times New Roman" w:hAnsi="Times New Roman" w:cs="Times New Roman"/>
          <w:noProof/>
          <w:sz w:val="24"/>
          <w:szCs w:val="24"/>
          <w:lang w:val="sq-AL"/>
        </w:rPr>
        <w:t>Janë duke u shqyrtuar dy kërkesa nga OAE.</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eastAsia="en-GB"/>
        </w:rPr>
      </w:pPr>
      <w:r w:rsidRPr="00221487">
        <w:rPr>
          <w:rFonts w:ascii="Times New Roman" w:eastAsia="Times New Roman" w:hAnsi="Times New Roman" w:cs="Times New Roman"/>
          <w:i/>
          <w:iCs/>
          <w:noProof/>
          <w:color w:val="000000"/>
          <w:sz w:val="24"/>
          <w:szCs w:val="24"/>
          <w:lang w:val="sq-AL" w:eastAsia="en-GB"/>
        </w:rPr>
        <w:t xml:space="preserve">Rritja e mundësive për të ankimuar vendimet e autoriteteve doganore me qëllim promovimin e një trajtimi të drejtë dhe të transparencës (në proces/sipas planit.): </w:t>
      </w:r>
      <w:r w:rsidRPr="00221487">
        <w:rPr>
          <w:rFonts w:ascii="Times New Roman" w:eastAsia="Times New Roman" w:hAnsi="Times New Roman" w:cs="Times New Roman"/>
          <w:noProof/>
          <w:sz w:val="24"/>
          <w:szCs w:val="24"/>
          <w:lang w:val="sq-AL" w:eastAsia="en-GB"/>
        </w:rPr>
        <w:t xml:space="preserve">Vlerësimi i deklaratave doganore realizohet përmes një sistemi të centralizuar. Sistemi që u aplikua në vitin 2018 ka ndikuar në mënyrë të drejtpërdrejtë në shkëputjen e lidhjeve mes oficerëve të vlerësimit me subjektet. </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eastAsia="en-GB"/>
        </w:rPr>
      </w:pPr>
    </w:p>
    <w:p w:rsidR="00221487" w:rsidRPr="00221487" w:rsidRDefault="00221487" w:rsidP="00221487">
      <w:pPr>
        <w:autoSpaceDE w:val="0"/>
        <w:autoSpaceDN w:val="0"/>
        <w:adjustRightInd w:val="0"/>
        <w:spacing w:after="0" w:line="240" w:lineRule="auto"/>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i/>
          <w:iCs/>
          <w:noProof/>
          <w:color w:val="000000"/>
          <w:sz w:val="24"/>
          <w:szCs w:val="24"/>
          <w:lang w:val="sq-AL" w:eastAsia="en-GB"/>
        </w:rPr>
        <w:t xml:space="preserve">Përcaktimi i rregullave që aplikohen për regjime të posaçme duke mundësuar përdorimin e një garancie të vetme për të gjitha regjimet që mbulojnë një numër të madh transaksionesh (në proces/me vonesë): </w:t>
      </w:r>
      <w:r w:rsidRPr="00221487">
        <w:rPr>
          <w:rFonts w:ascii="Times New Roman" w:eastAsia="Times New Roman" w:hAnsi="Times New Roman" w:cs="Times New Roman"/>
          <w:noProof/>
          <w:sz w:val="24"/>
          <w:szCs w:val="24"/>
          <w:lang w:val="sq-AL"/>
        </w:rPr>
        <w:t xml:space="preserve">Garancia “globale” në kuptimin e parashikuar në Kodin Doganor, nuk mund të përdoret pasi kërkon që të zhvillohet sistemi. Shuma maksimale e garancisë hidhet manualisht në sistemin doganor si dhe në bilance (bazuar në lëvizjet kredi-debi që kryhen nëpërmjet sistemit). AKSHI është duke zhvilluar module për këtë qëllim. </w:t>
      </w:r>
    </w:p>
    <w:p w:rsidR="00221487" w:rsidRPr="00221487" w:rsidRDefault="00221487" w:rsidP="00221487">
      <w:pPr>
        <w:autoSpaceDE w:val="0"/>
        <w:autoSpaceDN w:val="0"/>
        <w:adjustRightInd w:val="0"/>
        <w:spacing w:after="0" w:line="240" w:lineRule="auto"/>
        <w:rPr>
          <w:rFonts w:ascii="Times New Roman" w:eastAsia="Times New Roman" w:hAnsi="Times New Roman" w:cs="Times New Roman"/>
          <w:noProof/>
          <w:color w:val="000000"/>
          <w:sz w:val="24"/>
          <w:szCs w:val="24"/>
          <w:lang w:val="sq-AL" w:eastAsia="en-GB"/>
        </w:rPr>
      </w:pPr>
    </w:p>
    <w:p w:rsidR="00221487" w:rsidRPr="00221487" w:rsidRDefault="00221487" w:rsidP="00221487">
      <w:pPr>
        <w:autoSpaceDE w:val="0"/>
        <w:autoSpaceDN w:val="0"/>
        <w:adjustRightInd w:val="0"/>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i/>
          <w:noProof/>
          <w:sz w:val="24"/>
          <w:szCs w:val="24"/>
          <w:lang w:val="sq-AL"/>
        </w:rPr>
        <w:t xml:space="preserve">Marrja e masave për të luftuar rastet e mashtrimit (në proces/ me vonesë): </w:t>
      </w:r>
      <w:r w:rsidRPr="00221487">
        <w:rPr>
          <w:rFonts w:ascii="Times New Roman" w:eastAsia="Times New Roman" w:hAnsi="Times New Roman" w:cs="Times New Roman"/>
          <w:noProof/>
          <w:sz w:val="24"/>
          <w:szCs w:val="24"/>
          <w:lang w:val="sq-AL"/>
        </w:rPr>
        <w:t>7.27 % e numrit total të deklaratave (SAD) janë përzgjedhur në kanalin blu. Numri i deklaratave që përpunohen në 30 minuta është rritur nga 26% në 2017 në 37% në 2018.</w:t>
      </w:r>
    </w:p>
    <w:p w:rsidR="00221487" w:rsidRPr="00221487" w:rsidRDefault="00221487" w:rsidP="00221487">
      <w:pPr>
        <w:autoSpaceDE w:val="0"/>
        <w:autoSpaceDN w:val="0"/>
        <w:adjustRightInd w:val="0"/>
        <w:spacing w:after="0" w:line="240" w:lineRule="auto"/>
        <w:jc w:val="both"/>
        <w:rPr>
          <w:rFonts w:ascii="Times New Roman" w:eastAsia="Times New Roman" w:hAnsi="Times New Roman" w:cs="Times New Roman"/>
          <w:i/>
          <w:iCs/>
          <w:noProof/>
          <w:color w:val="000000"/>
          <w:sz w:val="24"/>
          <w:szCs w:val="24"/>
          <w:lang w:val="sq-AL" w:eastAsia="en-GB"/>
        </w:rPr>
      </w:pPr>
    </w:p>
    <w:p w:rsidR="00221487" w:rsidRPr="00221487" w:rsidRDefault="00221487" w:rsidP="00221487">
      <w:pPr>
        <w:autoSpaceDE w:val="0"/>
        <w:autoSpaceDN w:val="0"/>
        <w:adjustRightInd w:val="0"/>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i/>
          <w:iCs/>
          <w:noProof/>
          <w:color w:val="000000"/>
          <w:sz w:val="24"/>
          <w:szCs w:val="24"/>
          <w:lang w:val="sq-AL" w:eastAsia="en-GB"/>
        </w:rPr>
        <w:lastRenderedPageBreak/>
        <w:t xml:space="preserve">Rritja e transparencës së aktiviteteve doganore (në proces/sipas planit): </w:t>
      </w:r>
      <w:r w:rsidRPr="00221487">
        <w:rPr>
          <w:rFonts w:ascii="Times New Roman" w:eastAsia="Times New Roman" w:hAnsi="Times New Roman" w:cs="Times New Roman"/>
          <w:iCs/>
          <w:noProof/>
          <w:color w:val="000000"/>
          <w:sz w:val="24"/>
          <w:szCs w:val="24"/>
          <w:lang w:val="sq-AL" w:eastAsia="en-GB"/>
        </w:rPr>
        <w:t>Janë ngritur s</w:t>
      </w:r>
      <w:r w:rsidRPr="00221487">
        <w:rPr>
          <w:rFonts w:ascii="Times New Roman" w:eastAsia="Times New Roman" w:hAnsi="Times New Roman" w:cs="Times New Roman"/>
          <w:noProof/>
          <w:sz w:val="24"/>
          <w:szCs w:val="24"/>
          <w:lang w:val="sq-AL"/>
        </w:rPr>
        <w:t xml:space="preserve">trukturat përgjegjëse për menaxhimin e komunikimit me përdoruesit fundorë  në Drejtorinë e Përgjithshme dhe Pikat doganore. </w:t>
      </w:r>
    </w:p>
    <w:p w:rsidR="00221487" w:rsidRPr="00221487" w:rsidRDefault="00221487" w:rsidP="00221487">
      <w:pPr>
        <w:autoSpaceDE w:val="0"/>
        <w:autoSpaceDN w:val="0"/>
        <w:adjustRightInd w:val="0"/>
        <w:spacing w:after="0" w:line="240" w:lineRule="auto"/>
        <w:jc w:val="both"/>
        <w:rPr>
          <w:rFonts w:ascii="Times New Roman" w:eastAsia="Times New Roman" w:hAnsi="Times New Roman" w:cs="Times New Roman"/>
          <w:noProof/>
          <w:sz w:val="24"/>
          <w:szCs w:val="24"/>
          <w:lang w:val="sq-AL"/>
        </w:rPr>
      </w:pPr>
    </w:p>
    <w:p w:rsidR="00221487" w:rsidRPr="00221487" w:rsidRDefault="00221487" w:rsidP="00221487">
      <w:pPr>
        <w:autoSpaceDE w:val="0"/>
        <w:autoSpaceDN w:val="0"/>
        <w:adjustRightInd w:val="0"/>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i/>
          <w:iCs/>
          <w:noProof/>
          <w:color w:val="000000"/>
          <w:sz w:val="24"/>
          <w:szCs w:val="24"/>
          <w:lang w:val="sq-AL" w:eastAsia="en-GB"/>
        </w:rPr>
        <w:t>Kontribut për zbatimin e Sistemit të Menaxhimit të Integruar të Tarifave në administratën doganore tërësisht në përputhje me BE-ITMS  (në proces/me vonesë)</w:t>
      </w:r>
      <w:r w:rsidRPr="00221487">
        <w:rPr>
          <w:rFonts w:ascii="Times New Roman" w:eastAsia="Times New Roman" w:hAnsi="Times New Roman" w:cs="Times New Roman"/>
          <w:noProof/>
          <w:color w:val="000000"/>
          <w:sz w:val="24"/>
          <w:szCs w:val="24"/>
          <w:lang w:val="sq-AL" w:eastAsia="en-GB"/>
        </w:rPr>
        <w:t xml:space="preserve">: </w:t>
      </w:r>
      <w:r w:rsidRPr="00221487">
        <w:rPr>
          <w:rFonts w:ascii="Times New Roman" w:eastAsia="Times New Roman" w:hAnsi="Times New Roman" w:cs="Times New Roman"/>
          <w:noProof/>
          <w:sz w:val="24"/>
          <w:szCs w:val="24"/>
          <w:lang w:val="sq-AL"/>
        </w:rPr>
        <w:t xml:space="preserve">Gjatë mbledhjes së shtatë të Komitetit Drejtues, që u mbajt më 11 dhjetor 2018, për të kryer disa aktivitete shtesë që kërkoi DPD-ja, u diskutua mundësia për t’i dhënë një shtyrje pa kosto shtesë projektit, për të cilën u ra dakord ndërmjet partnerëve të Projektit të Binjakëzimit dhe BE-së. </w:t>
      </w:r>
    </w:p>
    <w:p w:rsidR="00221487" w:rsidRPr="00221487" w:rsidRDefault="00221487" w:rsidP="00221487">
      <w:pPr>
        <w:autoSpaceDE w:val="0"/>
        <w:autoSpaceDN w:val="0"/>
        <w:adjustRightInd w:val="0"/>
        <w:spacing w:after="0" w:line="240" w:lineRule="auto"/>
        <w:jc w:val="both"/>
        <w:rPr>
          <w:rFonts w:ascii="Times New Roman" w:eastAsia="Times New Roman" w:hAnsi="Times New Roman" w:cs="Times New Roman"/>
          <w:noProof/>
          <w:sz w:val="24"/>
          <w:szCs w:val="24"/>
          <w:lang w:val="sq-AL"/>
        </w:rPr>
      </w:pPr>
    </w:p>
    <w:p w:rsidR="00221487" w:rsidRPr="00221487" w:rsidRDefault="00221487" w:rsidP="00221487">
      <w:pPr>
        <w:autoSpaceDE w:val="0"/>
        <w:autoSpaceDN w:val="0"/>
        <w:adjustRightInd w:val="0"/>
        <w:spacing w:after="0" w:line="240" w:lineRule="auto"/>
        <w:rPr>
          <w:rFonts w:ascii="Times New Roman" w:eastAsia="Times New Roman" w:hAnsi="Times New Roman" w:cs="Times New Roman"/>
          <w:i/>
          <w:iCs/>
          <w:noProof/>
          <w:color w:val="000000"/>
          <w:sz w:val="24"/>
          <w:szCs w:val="24"/>
          <w:lang w:val="sq-AL" w:eastAsia="en-GB"/>
        </w:rPr>
      </w:pPr>
      <w:r w:rsidRPr="00221487">
        <w:rPr>
          <w:rFonts w:ascii="Times New Roman" w:eastAsia="Times New Roman" w:hAnsi="Times New Roman" w:cs="Times New Roman"/>
          <w:i/>
          <w:iCs/>
          <w:noProof/>
          <w:color w:val="000000"/>
          <w:sz w:val="24"/>
          <w:szCs w:val="24"/>
          <w:lang w:val="sq-AL" w:eastAsia="en-GB"/>
        </w:rPr>
        <w:t xml:space="preserve">Zgjerimi gradual i SIFQ për të gjitha subjektet kryesore buxhetore (në proces/sipas planit): </w:t>
      </w:r>
      <w:r w:rsidRPr="00221487">
        <w:rPr>
          <w:rFonts w:ascii="Times New Roman" w:eastAsia="Times New Roman" w:hAnsi="Times New Roman" w:cs="Times New Roman"/>
          <w:noProof/>
          <w:sz w:val="24"/>
          <w:szCs w:val="24"/>
          <w:lang w:val="sq-AL"/>
        </w:rPr>
        <w:t xml:space="preserve">Bazuar në reformën e administratës publike në vitin 2017,  për shkak të kostove financiare për licencat për përdoruesit për të pasur akses në  SIFQ dhe për shkak të vendeve vakante të stafit, është kërkuar që të shtyhet shtrirja e  SIFQ në IB-të deri në vitin 2020 si dhe të ulet numri i IB-ve nga 150 në 60, meqë është reduktuar numri i IB-ve dhe buxheti tashmë është përqendruar në një numër më të ulët. </w:t>
      </w:r>
    </w:p>
    <w:p w:rsidR="00221487" w:rsidRPr="00221487" w:rsidRDefault="00221487" w:rsidP="00221487">
      <w:pPr>
        <w:autoSpaceDE w:val="0"/>
        <w:autoSpaceDN w:val="0"/>
        <w:adjustRightInd w:val="0"/>
        <w:spacing w:after="0" w:line="240" w:lineRule="auto"/>
        <w:rPr>
          <w:rFonts w:ascii="Times New Roman" w:eastAsia="Times New Roman" w:hAnsi="Times New Roman" w:cs="Times New Roman"/>
          <w:noProof/>
          <w:color w:val="000000"/>
          <w:sz w:val="24"/>
          <w:szCs w:val="24"/>
          <w:lang w:val="sq-AL" w:eastAsia="en-GB"/>
        </w:rPr>
      </w:pPr>
    </w:p>
    <w:p w:rsidR="00221487" w:rsidRPr="00221487" w:rsidRDefault="00221487" w:rsidP="00221487">
      <w:pPr>
        <w:spacing w:after="0" w:line="240" w:lineRule="auto"/>
        <w:jc w:val="both"/>
        <w:rPr>
          <w:rFonts w:ascii="Times New Roman" w:eastAsia="Times New Roman" w:hAnsi="Times New Roman" w:cs="Times New Roman"/>
          <w:bCs/>
          <w:noProof/>
          <w:sz w:val="24"/>
          <w:szCs w:val="24"/>
          <w:lang w:val="sq-AL"/>
        </w:rPr>
      </w:pPr>
      <w:r w:rsidRPr="00221487">
        <w:rPr>
          <w:rFonts w:ascii="Times New Roman" w:eastAsia="Times" w:hAnsi="Times New Roman" w:cs="Times New Roman"/>
          <w:i/>
          <w:noProof/>
          <w:sz w:val="24"/>
          <w:szCs w:val="24"/>
          <w:lang w:val="sq-AL"/>
        </w:rPr>
        <w:t xml:space="preserve">Integrimi gradual i SIFQ dhe sistemeve të tjera informatike qeveritare tek SIMF-ja </w:t>
      </w:r>
      <w:r w:rsidRPr="00221487">
        <w:rPr>
          <w:rFonts w:ascii="Times New Roman" w:eastAsia="Times New Roman" w:hAnsi="Times New Roman" w:cs="Times New Roman"/>
          <w:i/>
          <w:noProof/>
          <w:sz w:val="24"/>
          <w:szCs w:val="24"/>
          <w:lang w:val="sq-AL"/>
        </w:rPr>
        <w:t>(në proces/ me vonesë):</w:t>
      </w:r>
      <w:r w:rsidRPr="00221487">
        <w:rPr>
          <w:rFonts w:ascii="Times New Roman" w:eastAsia="Times New Roman" w:hAnsi="Times New Roman" w:cs="Times New Roman"/>
          <w:bCs/>
          <w:noProof/>
          <w:sz w:val="24"/>
          <w:szCs w:val="24"/>
          <w:lang w:val="sq-AL"/>
        </w:rPr>
        <w:t xml:space="preserve"> MFE-ja me DAP-in, po presin të fillojë testimin për integrimin e SIFQ me SMIBNJ si dhe integrimin e </w:t>
      </w:r>
      <w:r w:rsidRPr="00221487">
        <w:rPr>
          <w:rFonts w:ascii="Times New Roman" w:eastAsia="Times New Roman" w:hAnsi="Times New Roman" w:cs="Times New Roman"/>
          <w:noProof/>
          <w:sz w:val="24"/>
          <w:szCs w:val="24"/>
          <w:lang w:val="sq-AL"/>
        </w:rPr>
        <w:t>SIFQ me Sistemin Informatik Doganor për shkëmbimin e informacionit ditor mbi të ardhurat doganore të mbledhura</w:t>
      </w:r>
      <w:r w:rsidRPr="00221487">
        <w:rPr>
          <w:rFonts w:ascii="Times New Roman" w:eastAsia="Times New Roman" w:hAnsi="Times New Roman" w:cs="Times New Roman"/>
          <w:bCs/>
          <w:noProof/>
          <w:sz w:val="24"/>
          <w:szCs w:val="24"/>
          <w:lang w:val="sq-AL"/>
        </w:rPr>
        <w:t>.</w:t>
      </w:r>
    </w:p>
    <w:p w:rsidR="00221487" w:rsidRPr="00221487" w:rsidRDefault="00221487" w:rsidP="00221487">
      <w:pPr>
        <w:spacing w:after="0" w:line="240" w:lineRule="auto"/>
        <w:jc w:val="both"/>
        <w:rPr>
          <w:rFonts w:ascii="Times New Roman" w:eastAsia="Times New Roman" w:hAnsi="Times New Roman" w:cs="Times New Roman"/>
          <w:i/>
          <w:noProof/>
          <w:sz w:val="24"/>
          <w:szCs w:val="24"/>
          <w:lang w:val="sq-AL"/>
        </w:rPr>
      </w:pPr>
    </w:p>
    <w:p w:rsidR="00221487" w:rsidRPr="00221487" w:rsidRDefault="00221487" w:rsidP="00221487">
      <w:pPr>
        <w:autoSpaceDE w:val="0"/>
        <w:autoSpaceDN w:val="0"/>
        <w:adjustRightInd w:val="0"/>
        <w:spacing w:after="0" w:line="240" w:lineRule="auto"/>
        <w:rPr>
          <w:rFonts w:ascii="Times New Roman" w:eastAsia="Calibri" w:hAnsi="Times New Roman" w:cs="Times New Roman"/>
          <w:noProof/>
          <w:kern w:val="1"/>
          <w:sz w:val="24"/>
          <w:szCs w:val="24"/>
          <w:lang w:val="sq-AL"/>
        </w:rPr>
      </w:pPr>
      <w:r w:rsidRPr="00221487">
        <w:rPr>
          <w:rFonts w:ascii="Times New Roman" w:eastAsia="Times New Roman" w:hAnsi="Times New Roman" w:cs="Times New Roman"/>
          <w:i/>
          <w:iCs/>
          <w:noProof/>
          <w:color w:val="000000"/>
          <w:sz w:val="24"/>
          <w:szCs w:val="24"/>
          <w:lang w:val="sq-AL" w:eastAsia="en-GB"/>
        </w:rPr>
        <w:t xml:space="preserve">Rishikimi i organizimit aktual institucional, organizimi i brendshëm dhe stafi përgjegjës për menaxhimin e borxhit dhe të likuiditetit (në proces/me vonesë): </w:t>
      </w:r>
      <w:r w:rsidRPr="00221487">
        <w:rPr>
          <w:rFonts w:ascii="Times New Roman" w:eastAsia="Calibri" w:hAnsi="Times New Roman" w:cs="Times New Roman"/>
          <w:noProof/>
          <w:kern w:val="1"/>
          <w:sz w:val="24"/>
          <w:szCs w:val="24"/>
          <w:lang w:val="sq-AL"/>
        </w:rPr>
        <w:t xml:space="preserve">Gjatë vitit 2018, Drejtoria e Borxhit Publik rekrutoi dy punonjës, dhe numri total i stafit arriti në 15 punonjës </w:t>
      </w:r>
      <w:r w:rsidRPr="00221487">
        <w:rPr>
          <w:rFonts w:ascii="Times New Roman" w:eastAsia="Calibri" w:hAnsi="Times New Roman" w:cs="Times New Roman"/>
          <w:i/>
          <w:noProof/>
          <w:kern w:val="1"/>
          <w:sz w:val="24"/>
          <w:szCs w:val="24"/>
          <w:lang w:val="sq-AL"/>
        </w:rPr>
        <w:t>(nga 16 në organigramë)</w:t>
      </w:r>
      <w:r w:rsidRPr="00221487">
        <w:rPr>
          <w:rFonts w:ascii="Times New Roman" w:eastAsia="Calibri" w:hAnsi="Times New Roman" w:cs="Times New Roman"/>
          <w:noProof/>
          <w:kern w:val="1"/>
          <w:sz w:val="24"/>
          <w:szCs w:val="24"/>
          <w:lang w:val="sq-AL"/>
        </w:rPr>
        <w:t>, ose 94% të numrit të stafit të parashikuar.</w:t>
      </w:r>
    </w:p>
    <w:p w:rsidR="00221487" w:rsidRPr="00221487" w:rsidRDefault="00221487" w:rsidP="00221487">
      <w:pPr>
        <w:autoSpaceDE w:val="0"/>
        <w:autoSpaceDN w:val="0"/>
        <w:adjustRightInd w:val="0"/>
        <w:spacing w:after="0" w:line="240" w:lineRule="auto"/>
        <w:rPr>
          <w:rFonts w:ascii="Times New Roman" w:eastAsia="Calibri" w:hAnsi="Times New Roman" w:cs="Times New Roman"/>
          <w:noProof/>
          <w:kern w:val="1"/>
          <w:sz w:val="24"/>
          <w:szCs w:val="24"/>
          <w:lang w:val="sq-AL"/>
        </w:rPr>
      </w:pPr>
    </w:p>
    <w:p w:rsidR="00221487" w:rsidRPr="00221487" w:rsidRDefault="00221487" w:rsidP="00221487">
      <w:pPr>
        <w:autoSpaceDE w:val="0"/>
        <w:autoSpaceDN w:val="0"/>
        <w:adjustRightInd w:val="0"/>
        <w:spacing w:after="0" w:line="240" w:lineRule="auto"/>
        <w:jc w:val="both"/>
        <w:rPr>
          <w:rFonts w:ascii="Times New Roman" w:eastAsia="Times New Roman" w:hAnsi="Times New Roman" w:cs="Times New Roman"/>
          <w:i/>
          <w:iCs/>
          <w:noProof/>
          <w:color w:val="000000"/>
          <w:sz w:val="24"/>
          <w:szCs w:val="24"/>
          <w:lang w:val="sq-AL" w:eastAsia="en-GB"/>
        </w:rPr>
      </w:pPr>
      <w:r w:rsidRPr="00221487">
        <w:rPr>
          <w:rFonts w:ascii="Times New Roman" w:eastAsia="Times New Roman" w:hAnsi="Times New Roman" w:cs="Times New Roman"/>
          <w:i/>
          <w:iCs/>
          <w:noProof/>
          <w:color w:val="000000"/>
          <w:sz w:val="24"/>
          <w:szCs w:val="24"/>
          <w:lang w:val="sq-AL" w:eastAsia="en-GB"/>
        </w:rPr>
        <w:t xml:space="preserve">Forcimi i kuadrit ligjor dhe institucional për </w:t>
      </w:r>
      <w:r w:rsidRPr="00221487">
        <w:rPr>
          <w:rFonts w:ascii="Times New Roman" w:eastAsia="Times New Roman" w:hAnsi="Times New Roman" w:cs="Times New Roman"/>
          <w:b/>
          <w:i/>
          <w:iCs/>
          <w:noProof/>
          <w:color w:val="000000"/>
          <w:sz w:val="24"/>
          <w:szCs w:val="24"/>
          <w:lang w:val="sq-AL" w:eastAsia="en-GB"/>
        </w:rPr>
        <w:t>prokurimin publik</w:t>
      </w:r>
      <w:r w:rsidRPr="00221487">
        <w:rPr>
          <w:rFonts w:ascii="Times New Roman" w:eastAsia="Times New Roman" w:hAnsi="Times New Roman" w:cs="Times New Roman"/>
          <w:i/>
          <w:iCs/>
          <w:noProof/>
          <w:color w:val="000000"/>
          <w:sz w:val="24"/>
          <w:szCs w:val="24"/>
          <w:lang w:val="sq-AL" w:eastAsia="en-GB"/>
        </w:rPr>
        <w:t xml:space="preserve"> (në proces/sipas planit): </w:t>
      </w:r>
      <w:r w:rsidRPr="00221487">
        <w:rPr>
          <w:rFonts w:ascii="Times New Roman" w:eastAsia="Times New Roman" w:hAnsi="Times New Roman" w:cs="Times New Roman"/>
          <w:iCs/>
          <w:noProof/>
          <w:color w:val="000000"/>
          <w:sz w:val="24"/>
          <w:szCs w:val="24"/>
          <w:lang w:val="sq-AL" w:eastAsia="en-GB"/>
        </w:rPr>
        <w:t>Komisioni i ri është i pavarur dhe ka filluar të funksionojë zyrtarisht më 16 korrik</w:t>
      </w:r>
      <w:r w:rsidRPr="00221487">
        <w:rPr>
          <w:rFonts w:ascii="Times New Roman" w:eastAsia="Times New Roman" w:hAnsi="Times New Roman" w:cs="Times New Roman"/>
          <w:i/>
          <w:iCs/>
          <w:noProof/>
          <w:color w:val="000000"/>
          <w:sz w:val="24"/>
          <w:szCs w:val="24"/>
          <w:lang w:val="sq-AL" w:eastAsia="en-GB"/>
        </w:rPr>
        <w:t xml:space="preserve"> </w:t>
      </w:r>
      <w:r w:rsidRPr="00221487">
        <w:rPr>
          <w:rFonts w:ascii="Times New Roman" w:eastAsia="Times New Roman" w:hAnsi="Times New Roman" w:cs="Times New Roman"/>
          <w:iCs/>
          <w:noProof/>
          <w:color w:val="000000"/>
          <w:sz w:val="24"/>
          <w:szCs w:val="24"/>
          <w:lang w:val="sq-AL" w:eastAsia="en-GB"/>
        </w:rPr>
        <w:t>2018. Me qëllim përmirësimin e legjislacionit për prokurimet dhe përafrimin me direktivat e reja të BE-së si dhe për transpozimin e direktivës 2009/81 për prokurimet në fushën e mbrojtjes dhe të sigurisë për të cilat është hartuar posaçërisht edhe një ligj nga grupi ndërinstitucional i punës, me urdhër të Kryeministrit nr. 129, datë 29.08.2018 dhe me urdhër të Kryeministrit nr. 128, i datës 29.08.2018.</w:t>
      </w:r>
      <w:r w:rsidRPr="00221487">
        <w:rPr>
          <w:rFonts w:ascii="Times New Roman" w:eastAsia="Times New Roman" w:hAnsi="Times New Roman" w:cs="Times New Roman"/>
          <w:i/>
          <w:iCs/>
          <w:noProof/>
          <w:color w:val="000000"/>
          <w:sz w:val="24"/>
          <w:szCs w:val="24"/>
          <w:lang w:val="sq-AL" w:eastAsia="en-GB"/>
        </w:rPr>
        <w:t xml:space="preserve"> </w:t>
      </w:r>
    </w:p>
    <w:p w:rsidR="00221487" w:rsidRPr="00221487" w:rsidRDefault="00221487" w:rsidP="00221487">
      <w:pPr>
        <w:spacing w:after="0" w:line="240" w:lineRule="auto"/>
        <w:jc w:val="both"/>
        <w:rPr>
          <w:rFonts w:ascii="Times New Roman" w:eastAsia="Times" w:hAnsi="Times New Roman" w:cs="Times New Roman"/>
          <w:noProof/>
          <w:sz w:val="24"/>
          <w:szCs w:val="24"/>
          <w:highlight w:val="yellow"/>
          <w:lang w:val="sq-AL"/>
        </w:rPr>
      </w:pPr>
      <w:r w:rsidRPr="00221487">
        <w:rPr>
          <w:rFonts w:ascii="Times New Roman" w:eastAsia="Times New Roman" w:hAnsi="Times New Roman" w:cs="Times New Roman"/>
          <w:i/>
          <w:noProof/>
          <w:sz w:val="24"/>
          <w:szCs w:val="24"/>
          <w:lang w:val="sq-AL"/>
        </w:rPr>
        <w:t xml:space="preserve">Përgatitja e metodologjisë dhe planit të veprimit. (në proces/sipas planit): </w:t>
      </w:r>
      <w:r w:rsidRPr="00221487">
        <w:rPr>
          <w:rFonts w:ascii="Times New Roman" w:eastAsia="Times New Roman" w:hAnsi="Times New Roman" w:cs="Times New Roman"/>
          <w:noProof/>
          <w:sz w:val="24"/>
          <w:szCs w:val="24"/>
          <w:lang w:val="sq-AL"/>
        </w:rPr>
        <w:t>Gjatë vitit 2018 nisi dhe projekti i Bankës Botërore për zbatimin e IPSAS, pjesë e së cilit është dhe komponenti për menaxhimin e aseteve.</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p>
    <w:p w:rsidR="00221487" w:rsidRPr="00221487" w:rsidRDefault="00221487" w:rsidP="00221487">
      <w:pPr>
        <w:keepNext/>
        <w:numPr>
          <w:ilvl w:val="2"/>
          <w:numId w:val="0"/>
        </w:numPr>
        <w:spacing w:after="0" w:line="240" w:lineRule="auto"/>
        <w:ind w:left="630" w:hanging="153"/>
        <w:jc w:val="both"/>
        <w:outlineLvl w:val="2"/>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Administrata tatimore</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p>
    <w:tbl>
      <w:tblPr>
        <w:tblW w:w="0" w:type="auto"/>
        <w:tblInd w:w="108"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ook w:val="04A0" w:firstRow="1" w:lastRow="0" w:firstColumn="1" w:lastColumn="0" w:noHBand="0" w:noVBand="1"/>
      </w:tblPr>
      <w:tblGrid>
        <w:gridCol w:w="1890"/>
        <w:gridCol w:w="1927"/>
        <w:gridCol w:w="1305"/>
        <w:gridCol w:w="98"/>
        <w:gridCol w:w="90"/>
        <w:gridCol w:w="90"/>
        <w:gridCol w:w="3952"/>
      </w:tblGrid>
      <w:tr w:rsidR="00221487" w:rsidRPr="005B32A4" w:rsidTr="004342D7">
        <w:tc>
          <w:tcPr>
            <w:tcW w:w="9352" w:type="dxa"/>
            <w:gridSpan w:val="7"/>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t>Objektivi 1</w:t>
            </w:r>
          </w:p>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noProof/>
                <w:sz w:val="24"/>
                <w:szCs w:val="24"/>
                <w:lang w:val="sq-AL"/>
              </w:rPr>
              <w:t>Reforma në administratën tatimore rrit bazën tatimore, mbështet mbledhjes efikase të taksave dhe redukton rastet e mashtrimit.</w:t>
            </w:r>
            <w:r w:rsidRPr="00221487">
              <w:rPr>
                <w:rFonts w:ascii="Times New Roman" w:eastAsia="Times" w:hAnsi="Times New Roman" w:cs="Times New Roman"/>
                <w:i/>
                <w:noProof/>
                <w:sz w:val="24"/>
                <w:szCs w:val="24"/>
                <w:lang w:val="sq-AL"/>
              </w:rPr>
              <w:t xml:space="preserve"> </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i/>
                <w:noProof/>
                <w:sz w:val="24"/>
                <w:szCs w:val="24"/>
                <w:lang w:val="sq-AL"/>
              </w:rPr>
              <w:t>Treguesi i rezultatit</w:t>
            </w:r>
            <w:r w:rsidRPr="00221487">
              <w:rPr>
                <w:rFonts w:ascii="Times New Roman" w:eastAsia="Times" w:hAnsi="Times New Roman" w:cs="Times New Roman"/>
                <w:noProof/>
                <w:sz w:val="24"/>
                <w:szCs w:val="24"/>
                <w:lang w:val="sq-AL"/>
              </w:rPr>
              <w:t xml:space="preserve"> 1</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Zgjerimi i bazës tatimore me 30 % për punonjësit dhe 20% për bizneset në vitin 2020</w:t>
            </w:r>
          </w:p>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t>Vlera e treguesit</w:t>
            </w:r>
          </w:p>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noProof/>
                <w:sz w:val="24"/>
                <w:szCs w:val="24"/>
                <w:lang w:val="sq-AL"/>
              </w:rPr>
              <w:lastRenderedPageBreak/>
              <w:t xml:space="preserve">Vlera e treguesit për vitin 2018 </w:t>
            </w:r>
            <w:r w:rsidRPr="00221487">
              <w:rPr>
                <w:rFonts w:ascii="Times New Roman" w:eastAsia="Times" w:hAnsi="Times New Roman" w:cs="Times New Roman"/>
                <w:b/>
                <w:noProof/>
                <w:sz w:val="24"/>
                <w:szCs w:val="24"/>
                <w:lang w:val="sq-AL"/>
              </w:rPr>
              <w:t>u përmbush pjesërisht</w:t>
            </w:r>
            <w:r w:rsidRPr="00221487">
              <w:rPr>
                <w:rFonts w:ascii="Times New Roman" w:eastAsia="Times" w:hAnsi="Times New Roman" w:cs="Times New Roman"/>
                <w:noProof/>
                <w:sz w:val="24"/>
                <w:szCs w:val="24"/>
                <w:lang w:val="sq-AL"/>
              </w:rPr>
              <w:t xml:space="preserve"> pasi baza tatimore u rrit për punonjësit dhe ra për bizneset krahasuar me vitin 2017.</w:t>
            </w:r>
            <w:r w:rsidRPr="00221487">
              <w:rPr>
                <w:rFonts w:ascii="Times New Roman" w:eastAsia="Times" w:hAnsi="Times New Roman" w:cs="Times New Roman"/>
                <w:noProof/>
                <w:sz w:val="24"/>
                <w:szCs w:val="24"/>
                <w:vertAlign w:val="superscript"/>
                <w:lang w:val="sq-AL"/>
              </w:rPr>
              <w:footnoteReference w:id="14"/>
            </w:r>
            <w:r w:rsidRPr="00221487">
              <w:rPr>
                <w:rFonts w:ascii="Times New Roman" w:eastAsia="Times" w:hAnsi="Times New Roman" w:cs="Times New Roman"/>
                <w:i/>
                <w:noProof/>
                <w:sz w:val="24"/>
                <w:szCs w:val="24"/>
                <w:lang w:val="sq-AL"/>
              </w:rPr>
              <w:t xml:space="preserve"> </w:t>
            </w:r>
          </w:p>
        </w:tc>
      </w:tr>
      <w:tr w:rsidR="00221487" w:rsidRPr="00221487" w:rsidTr="004342D7">
        <w:trPr>
          <w:trHeight w:val="261"/>
        </w:trPr>
        <w:tc>
          <w:tcPr>
            <w:tcW w:w="1890" w:type="dxa"/>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lastRenderedPageBreak/>
              <w:t>Vlera bazë (2014)</w:t>
            </w:r>
          </w:p>
        </w:tc>
        <w:tc>
          <w:tcPr>
            <w:tcW w:w="3232" w:type="dxa"/>
            <w:gridSpan w:val="2"/>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2018</w:t>
            </w:r>
          </w:p>
        </w:tc>
        <w:tc>
          <w:tcPr>
            <w:tcW w:w="4230" w:type="dxa"/>
            <w:gridSpan w:val="4"/>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Objektivi për 2020</w:t>
            </w:r>
          </w:p>
        </w:tc>
      </w:tr>
      <w:tr w:rsidR="00221487" w:rsidRPr="00221487" w:rsidTr="004342D7">
        <w:trPr>
          <w:trHeight w:val="198"/>
        </w:trPr>
        <w:tc>
          <w:tcPr>
            <w:tcW w:w="1890" w:type="dxa"/>
            <w:shd w:val="clear" w:color="auto" w:fill="D9D9D9" w:themeFill="background1" w:themeFillShade="D9"/>
            <w:vAlign w:val="center"/>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507,891punonjës 100,765biznese</w:t>
            </w:r>
          </w:p>
        </w:tc>
        <w:tc>
          <w:tcPr>
            <w:tcW w:w="1927" w:type="dxa"/>
            <w:shd w:val="clear" w:color="auto" w:fill="D9D9D9" w:themeFill="background1" w:themeFillShade="D9"/>
            <w:vAlign w:val="center"/>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29%punonjës           16% biznese</w:t>
            </w:r>
          </w:p>
        </w:tc>
        <w:tc>
          <w:tcPr>
            <w:tcW w:w="1305" w:type="dxa"/>
            <w:shd w:val="clear" w:color="auto" w:fill="D9D9D9" w:themeFill="background1" w:themeFillShade="D9"/>
            <w:vAlign w:val="center"/>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p>
        </w:tc>
        <w:tc>
          <w:tcPr>
            <w:tcW w:w="4230" w:type="dxa"/>
            <w:gridSpan w:val="4"/>
            <w:shd w:val="clear" w:color="auto" w:fill="D9D9D9" w:themeFill="background1" w:themeFillShade="D9"/>
            <w:vAlign w:val="center"/>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30% punonjës                    </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20% biznese</w:t>
            </w:r>
          </w:p>
        </w:tc>
      </w:tr>
      <w:tr w:rsidR="00221487" w:rsidRPr="005B32A4" w:rsidTr="004342D7">
        <w:tc>
          <w:tcPr>
            <w:tcW w:w="9352" w:type="dxa"/>
            <w:gridSpan w:val="7"/>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t>Objektivi 2</w:t>
            </w:r>
          </w:p>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noProof/>
                <w:sz w:val="24"/>
                <w:szCs w:val="24"/>
                <w:lang w:val="sq-AL"/>
              </w:rPr>
              <w:t>Menaxhim efektiv, efikas, i drejtë dhe transparent i të ardhurave tatimore.</w:t>
            </w:r>
            <w:r w:rsidRPr="00221487">
              <w:rPr>
                <w:rFonts w:ascii="Times New Roman" w:eastAsia="Times" w:hAnsi="Times New Roman" w:cs="Times New Roman"/>
                <w:i/>
                <w:noProof/>
                <w:sz w:val="24"/>
                <w:szCs w:val="24"/>
                <w:lang w:val="sq-AL"/>
              </w:rPr>
              <w:t xml:space="preserve"> </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Treguesi i rezultatit 2</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Efikasiteti tatimor është rritur si rezultat i reduktimit të kostove administrative në më pak se 1%.</w:t>
            </w:r>
          </w:p>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t>Vlera e treguesit</w:t>
            </w:r>
          </w:p>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noProof/>
                <w:sz w:val="24"/>
                <w:szCs w:val="24"/>
                <w:lang w:val="sq-AL"/>
              </w:rPr>
              <w:t xml:space="preserve">Treguesi për vititn 2018 </w:t>
            </w:r>
            <w:r w:rsidRPr="00221487">
              <w:rPr>
                <w:rFonts w:ascii="Times New Roman" w:eastAsia="Times" w:hAnsi="Times New Roman" w:cs="Times New Roman"/>
                <w:b/>
                <w:noProof/>
                <w:sz w:val="24"/>
                <w:szCs w:val="24"/>
                <w:lang w:val="sq-AL"/>
              </w:rPr>
              <w:t>u përmbush</w:t>
            </w:r>
            <w:r w:rsidRPr="00221487">
              <w:rPr>
                <w:rFonts w:ascii="Times New Roman" w:eastAsia="Times" w:hAnsi="Times New Roman" w:cs="Times New Roman"/>
                <w:noProof/>
                <w:sz w:val="24"/>
                <w:szCs w:val="24"/>
                <w:lang w:val="sq-AL"/>
              </w:rPr>
              <w:t>, pasi u përmirësua krahasuar me vitin 2017.</w:t>
            </w:r>
            <w:r w:rsidRPr="00221487">
              <w:rPr>
                <w:rFonts w:ascii="Times New Roman" w:eastAsia="Times" w:hAnsi="Times New Roman" w:cs="Times New Roman"/>
                <w:b/>
                <w:noProof/>
                <w:sz w:val="24"/>
                <w:szCs w:val="24"/>
                <w:lang w:val="sq-AL"/>
              </w:rPr>
              <w:t xml:space="preserve"> </w:t>
            </w:r>
          </w:p>
        </w:tc>
      </w:tr>
      <w:tr w:rsidR="00221487" w:rsidRPr="00221487" w:rsidTr="004342D7">
        <w:trPr>
          <w:trHeight w:val="261"/>
        </w:trPr>
        <w:tc>
          <w:tcPr>
            <w:tcW w:w="1890" w:type="dxa"/>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Vlera bazë (2013)</w:t>
            </w:r>
          </w:p>
        </w:tc>
        <w:tc>
          <w:tcPr>
            <w:tcW w:w="3330" w:type="dxa"/>
            <w:gridSpan w:val="3"/>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2018</w:t>
            </w:r>
          </w:p>
        </w:tc>
        <w:tc>
          <w:tcPr>
            <w:tcW w:w="4132" w:type="dxa"/>
            <w:gridSpan w:val="3"/>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Synimi 2020</w:t>
            </w:r>
          </w:p>
        </w:tc>
      </w:tr>
      <w:tr w:rsidR="00221487" w:rsidRPr="00221487" w:rsidTr="004342D7">
        <w:trPr>
          <w:trHeight w:val="198"/>
        </w:trPr>
        <w:tc>
          <w:tcPr>
            <w:tcW w:w="1890" w:type="dxa"/>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1,46%</w:t>
            </w:r>
          </w:p>
        </w:tc>
        <w:tc>
          <w:tcPr>
            <w:tcW w:w="3420" w:type="dxa"/>
            <w:gridSpan w:val="4"/>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1.27%</w:t>
            </w:r>
          </w:p>
        </w:tc>
        <w:tc>
          <w:tcPr>
            <w:tcW w:w="4042" w:type="dxa"/>
            <w:gridSpan w:val="2"/>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1%</w:t>
            </w:r>
          </w:p>
        </w:tc>
      </w:tr>
      <w:tr w:rsidR="00221487" w:rsidRPr="005B32A4" w:rsidTr="004342D7">
        <w:tc>
          <w:tcPr>
            <w:tcW w:w="9352" w:type="dxa"/>
            <w:gridSpan w:val="7"/>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t>Treguesi i rezultatit 3*</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Rimbursimi i TVSH-së sipas afateve kohore ligjore </w:t>
            </w:r>
          </w:p>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t>Vlera e treguesit</w:t>
            </w:r>
          </w:p>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noProof/>
                <w:sz w:val="24"/>
                <w:szCs w:val="24"/>
                <w:lang w:val="sq-AL"/>
              </w:rPr>
              <w:t xml:space="preserve">Treguesi për vitin 2018 </w:t>
            </w:r>
            <w:r w:rsidRPr="00221487">
              <w:rPr>
                <w:rFonts w:ascii="Times New Roman" w:eastAsia="Times" w:hAnsi="Times New Roman" w:cs="Times New Roman"/>
                <w:b/>
                <w:noProof/>
                <w:sz w:val="24"/>
                <w:szCs w:val="24"/>
                <w:lang w:val="sq-AL"/>
              </w:rPr>
              <w:t>u përmbush</w:t>
            </w:r>
            <w:r w:rsidRPr="00221487">
              <w:rPr>
                <w:rFonts w:ascii="Times New Roman" w:eastAsia="Times" w:hAnsi="Times New Roman" w:cs="Times New Roman"/>
                <w:noProof/>
                <w:sz w:val="24"/>
                <w:szCs w:val="24"/>
                <w:lang w:val="sq-AL"/>
              </w:rPr>
              <w:t xml:space="preserve"> pasi u përmirësua krahasuar me vitin 2017, pasi numri i rasteve vjetore të shqyrtuara (të paguara ose të refuzuara) krahasuar me numrin total të kërkesave për rimbursim kaloi objektivin e synuar. </w:t>
            </w:r>
          </w:p>
        </w:tc>
      </w:tr>
      <w:tr w:rsidR="00221487" w:rsidRPr="00221487" w:rsidTr="004342D7">
        <w:trPr>
          <w:trHeight w:val="261"/>
        </w:trPr>
        <w:tc>
          <w:tcPr>
            <w:tcW w:w="1890" w:type="dxa"/>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Vlera bazë (2014)</w:t>
            </w:r>
          </w:p>
        </w:tc>
        <w:tc>
          <w:tcPr>
            <w:tcW w:w="3420" w:type="dxa"/>
            <w:gridSpan w:val="4"/>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      2018</w:t>
            </w:r>
          </w:p>
        </w:tc>
        <w:tc>
          <w:tcPr>
            <w:tcW w:w="4042" w:type="dxa"/>
            <w:gridSpan w:val="2"/>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Synimi 2020</w:t>
            </w:r>
          </w:p>
        </w:tc>
      </w:tr>
      <w:tr w:rsidR="00221487" w:rsidRPr="00221487" w:rsidTr="004342D7">
        <w:trPr>
          <w:trHeight w:val="198"/>
        </w:trPr>
        <w:tc>
          <w:tcPr>
            <w:tcW w:w="1890" w:type="dxa"/>
            <w:shd w:val="clear" w:color="auto" w:fill="D9D9D9" w:themeFill="background1" w:themeFillShade="D9"/>
            <w:vAlign w:val="center"/>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69%</w:t>
            </w:r>
          </w:p>
        </w:tc>
        <w:tc>
          <w:tcPr>
            <w:tcW w:w="3510" w:type="dxa"/>
            <w:gridSpan w:val="5"/>
            <w:shd w:val="clear" w:color="auto" w:fill="D9D9D9" w:themeFill="background1" w:themeFillShade="D9"/>
            <w:vAlign w:val="center"/>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      84%</w:t>
            </w:r>
          </w:p>
        </w:tc>
        <w:tc>
          <w:tcPr>
            <w:tcW w:w="3952" w:type="dxa"/>
            <w:shd w:val="clear" w:color="auto" w:fill="D9D9D9" w:themeFill="background1" w:themeFillShade="D9"/>
            <w:vAlign w:val="center"/>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90%</w:t>
            </w:r>
          </w:p>
        </w:tc>
      </w:tr>
      <w:tr w:rsidR="00221487" w:rsidRPr="00221487" w:rsidTr="004342D7">
        <w:trPr>
          <w:trHeight w:val="198"/>
        </w:trPr>
        <w:tc>
          <w:tcPr>
            <w:tcW w:w="9352" w:type="dxa"/>
            <w:gridSpan w:val="7"/>
            <w:shd w:val="clear" w:color="auto" w:fill="D9D9D9" w:themeFill="background1" w:themeFillShade="D9"/>
            <w:vAlign w:val="center"/>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p>
        </w:tc>
      </w:tr>
    </w:tbl>
    <w:p w:rsidR="00221487" w:rsidRPr="00221487" w:rsidRDefault="00221487" w:rsidP="00221487">
      <w:pPr>
        <w:spacing w:after="0" w:line="240" w:lineRule="auto"/>
        <w:jc w:val="both"/>
        <w:rPr>
          <w:rFonts w:ascii="Times New Roman" w:eastAsia="Times" w:hAnsi="Times New Roman" w:cs="Times New Roman"/>
          <w:b/>
          <w:noProof/>
          <w:sz w:val="24"/>
          <w:szCs w:val="24"/>
          <w:lang w:val="sq-AL"/>
        </w:rPr>
      </w:pPr>
    </w:p>
    <w:p w:rsidR="00221487" w:rsidRPr="00221487" w:rsidRDefault="00221487" w:rsidP="00221487">
      <w:pPr>
        <w:spacing w:after="0" w:line="240" w:lineRule="auto"/>
        <w:jc w:val="both"/>
        <w:rPr>
          <w:rFonts w:ascii="Times New Roman" w:eastAsia="Times" w:hAnsi="Times New Roman" w:cs="Times New Roman"/>
          <w:b/>
          <w:noProof/>
          <w:sz w:val="24"/>
          <w:szCs w:val="24"/>
          <w:lang w:val="sq-AL"/>
        </w:rPr>
      </w:pPr>
    </w:p>
    <w:p w:rsidR="00221487" w:rsidRPr="00221487" w:rsidRDefault="00221487" w:rsidP="00221487">
      <w:pPr>
        <w:spacing w:after="0" w:line="240" w:lineRule="auto"/>
        <w:jc w:val="both"/>
        <w:rPr>
          <w:rFonts w:ascii="Times New Roman" w:eastAsia="Times" w:hAnsi="Times New Roman" w:cs="Times New Roman"/>
          <w:b/>
          <w:i/>
          <w:noProof/>
          <w:sz w:val="24"/>
          <w:szCs w:val="24"/>
          <w:lang w:val="sq-AL"/>
        </w:rPr>
      </w:pPr>
      <w:r w:rsidRPr="00221487">
        <w:rPr>
          <w:rFonts w:ascii="Times New Roman" w:eastAsia="Times" w:hAnsi="Times New Roman" w:cs="Times New Roman"/>
          <w:b/>
          <w:noProof/>
          <w:sz w:val="24"/>
          <w:szCs w:val="24"/>
          <w:lang w:val="sq-AL"/>
        </w:rPr>
        <w:t xml:space="preserve">Masa 1: Ri-projektimi dhe kompjuterizimi i proceseve kryesore të administratës tatimore.  </w:t>
      </w:r>
      <w:r w:rsidRPr="00221487">
        <w:rPr>
          <w:rFonts w:ascii="Times New Roman" w:eastAsia="Times" w:hAnsi="Times New Roman" w:cs="Times New Roman"/>
          <w:b/>
          <w:i/>
          <w:noProof/>
          <w:sz w:val="24"/>
          <w:szCs w:val="24"/>
          <w:lang w:val="sq-AL"/>
        </w:rPr>
        <w:t xml:space="preserve">(në proces/ </w:t>
      </w:r>
      <w:r w:rsidRPr="00221487">
        <w:rPr>
          <w:rFonts w:ascii="Times New Roman" w:hAnsi="Times New Roman" w:cs="Times New Roman"/>
          <w:b/>
          <w:i/>
          <w:noProof/>
          <w:sz w:val="24"/>
          <w:szCs w:val="24"/>
          <w:lang w:val="sq-AL"/>
        </w:rPr>
        <w:t>i vonuar</w:t>
      </w:r>
      <w:r w:rsidRPr="00221487">
        <w:rPr>
          <w:rFonts w:ascii="Times New Roman" w:eastAsia="Times" w:hAnsi="Times New Roman" w:cs="Times New Roman"/>
          <w:b/>
          <w:i/>
          <w:noProof/>
          <w:sz w:val="24"/>
          <w:szCs w:val="24"/>
          <w:lang w:val="sq-AL"/>
        </w:rPr>
        <w:t>)</w:t>
      </w:r>
    </w:p>
    <w:p w:rsidR="00221487" w:rsidRPr="00221487" w:rsidRDefault="00221487" w:rsidP="00221487">
      <w:pPr>
        <w:spacing w:after="0" w:line="240" w:lineRule="auto"/>
        <w:jc w:val="both"/>
        <w:rPr>
          <w:rFonts w:ascii="Times New Roman" w:hAnsi="Times New Roman" w:cs="Times New Roman"/>
          <w:b/>
          <w:i/>
          <w:noProof/>
          <w:sz w:val="24"/>
          <w:szCs w:val="24"/>
          <w:lang w:val="sq-AL"/>
        </w:rPr>
      </w:pPr>
    </w:p>
    <w:p w:rsidR="00221487" w:rsidRPr="00221487" w:rsidRDefault="00221487" w:rsidP="00221487">
      <w:pPr>
        <w:spacing w:after="0" w:line="240" w:lineRule="auto"/>
        <w:jc w:val="both"/>
        <w:rPr>
          <w:rFonts w:ascii="Times New Roman" w:eastAsia="Times New Roman" w:hAnsi="Times New Roman" w:cs="Times New Roman"/>
          <w:noProof/>
          <w:color w:val="222222"/>
          <w:sz w:val="24"/>
          <w:szCs w:val="24"/>
          <w:highlight w:val="yellow"/>
          <w:lang w:val="sq-AL"/>
        </w:rPr>
      </w:pPr>
      <w:r w:rsidRPr="00221487">
        <w:rPr>
          <w:rFonts w:ascii="Times New Roman" w:eastAsia="Times New Roman" w:hAnsi="Times New Roman" w:cs="Times New Roman"/>
          <w:noProof/>
          <w:color w:val="222222"/>
          <w:sz w:val="24"/>
          <w:szCs w:val="24"/>
          <w:lang w:val="sq-AL"/>
        </w:rPr>
        <w:t xml:space="preserve">Nevoja për të transformuar dhe për të ruajtur të dhënat historike e voluminoze (që prej vitit 1996), nga të gjithë burimet e sistemeve të administratës tatimore, për të mundësuar një proces për analizën e të dhënave si bazë për një shqyrtim alternativ për të mbështetur vendimmarrje efikase, e bën të domosdoshëm krijimin e një sistemi, gjithmonë funksional, me parametra optimal për të garantuar zgjidhje teknologjike që mundësojnë: integrimin e sistemeve ekzistuese; zhvillimin e </w:t>
      </w:r>
      <w:r w:rsidRPr="00221487">
        <w:rPr>
          <w:rFonts w:ascii="Times New Roman" w:eastAsia="Times New Roman" w:hAnsi="Times New Roman" w:cs="Times New Roman"/>
          <w:i/>
          <w:noProof/>
          <w:color w:val="222222"/>
          <w:sz w:val="24"/>
          <w:szCs w:val="24"/>
          <w:lang w:val="sq-AL"/>
        </w:rPr>
        <w:t>Data Warehouse</w:t>
      </w:r>
      <w:r w:rsidRPr="00221487">
        <w:rPr>
          <w:rFonts w:ascii="Times New Roman" w:eastAsia="Times New Roman" w:hAnsi="Times New Roman" w:cs="Times New Roman"/>
          <w:noProof/>
          <w:color w:val="222222"/>
          <w:sz w:val="24"/>
          <w:szCs w:val="24"/>
          <w:lang w:val="sq-AL"/>
        </w:rPr>
        <w:t xml:space="preserve">; zhvillimin e një sistemi inteligjent (relator). Ndërtimi dhe funksionimi i vazhdueshëm i këtij sistemi të dhënash bazuar në një server të dhënash (data warehouse) siguron vazhdimësi në analizimin dhe përpunimin e të dhënave tatimore, në kuadër të luftës kundër evazionit fiskal, shmangies së detyrimeve, ose abuzimeve me llojet e ndryshme të taksave. Në këtë kontekst, u bënë ndryshime në bazën ligjore gjatë vitit  2016 dhe 2017, për të angazhuar shërbimin e konsulencës për Data Warehouse (DWH) për të ngritur dhe për të përdorur kapacitetet e DWH, por ende nuk janë zbatuar pasi kërkojnë fonde shtesë. </w:t>
      </w:r>
      <w:r w:rsidRPr="00221487">
        <w:rPr>
          <w:rFonts w:ascii="Times New Roman" w:eastAsia="Times New Roman" w:hAnsi="Times New Roman" w:cs="Times New Roman"/>
          <w:noProof/>
          <w:color w:val="222222"/>
          <w:sz w:val="24"/>
          <w:szCs w:val="24"/>
          <w:lang w:val="sq-AL"/>
        </w:rPr>
        <w:lastRenderedPageBreak/>
        <w:t xml:space="preserve">Gjatë vitit 2018, u transferuan fondet e kërkuara. Investimi do të prokurohet nga Agjencia Kombëtare për Shoqërinë e Informacionit (AKSHI) dhe është ngritur grupi i punës, i cili ka filluar të përgatisë termat e referencës për mirëmbajtjen e Sistemit Inteligjent të Biznesit. </w:t>
      </w:r>
    </w:p>
    <w:p w:rsidR="00221487" w:rsidRPr="00221487" w:rsidRDefault="00221487" w:rsidP="00221487">
      <w:pPr>
        <w:spacing w:after="0" w:line="240" w:lineRule="auto"/>
        <w:jc w:val="both"/>
        <w:rPr>
          <w:rFonts w:ascii="Times New Roman" w:eastAsia="Times New Roman" w:hAnsi="Times New Roman" w:cs="Times New Roman"/>
          <w:noProof/>
          <w:sz w:val="24"/>
          <w:szCs w:val="24"/>
          <w:highlight w:val="yellow"/>
          <w:lang w:val="sq-AL"/>
        </w:rPr>
      </w:pP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p>
    <w:p w:rsidR="00221487" w:rsidRPr="00221487" w:rsidRDefault="00221487" w:rsidP="00221487">
      <w:pPr>
        <w:spacing w:after="0" w:line="240" w:lineRule="auto"/>
        <w:jc w:val="both"/>
        <w:rPr>
          <w:rFonts w:ascii="Times New Roman" w:eastAsia="Times" w:hAnsi="Times New Roman" w:cs="Times New Roman"/>
          <w:b/>
          <w:noProof/>
          <w:sz w:val="24"/>
          <w:szCs w:val="24"/>
          <w:lang w:val="sq-AL"/>
        </w:rPr>
      </w:pPr>
      <w:r w:rsidRPr="00221487">
        <w:rPr>
          <w:rFonts w:ascii="Times New Roman" w:eastAsia="Times" w:hAnsi="Times New Roman" w:cs="Times New Roman"/>
          <w:b/>
          <w:noProof/>
          <w:sz w:val="24"/>
          <w:szCs w:val="24"/>
          <w:lang w:val="sq-AL"/>
        </w:rPr>
        <w:t>Masa 2: Zbatimi i sistemit të menaxhimit të mbledhjes së taksave mbi bazën e riskut të</w:t>
      </w:r>
    </w:p>
    <w:p w:rsidR="00221487" w:rsidRPr="00221487" w:rsidRDefault="00221487" w:rsidP="00221487">
      <w:pPr>
        <w:spacing w:after="0" w:line="240" w:lineRule="auto"/>
        <w:jc w:val="both"/>
        <w:rPr>
          <w:rFonts w:ascii="Times New Roman" w:eastAsia="Times" w:hAnsi="Times New Roman" w:cs="Times New Roman"/>
          <w:b/>
          <w:i/>
          <w:noProof/>
          <w:sz w:val="24"/>
          <w:szCs w:val="24"/>
          <w:lang w:val="sq-AL"/>
        </w:rPr>
      </w:pPr>
      <w:r w:rsidRPr="00221487">
        <w:rPr>
          <w:rFonts w:ascii="Times New Roman" w:eastAsia="Times" w:hAnsi="Times New Roman" w:cs="Times New Roman"/>
          <w:b/>
          <w:noProof/>
          <w:sz w:val="24"/>
          <w:szCs w:val="24"/>
          <w:lang w:val="sq-AL"/>
        </w:rPr>
        <w:t>përputhshmërisë</w:t>
      </w:r>
      <w:r w:rsidRPr="00221487">
        <w:rPr>
          <w:rFonts w:ascii="Times New Roman" w:eastAsia="Times" w:hAnsi="Times New Roman" w:cs="Times New Roman"/>
          <w:b/>
          <w:i/>
          <w:noProof/>
          <w:sz w:val="24"/>
          <w:szCs w:val="24"/>
          <w:lang w:val="sq-AL"/>
        </w:rPr>
        <w:t xml:space="preserve"> (e plotësuar)</w:t>
      </w:r>
    </w:p>
    <w:p w:rsidR="00221487" w:rsidRPr="00221487" w:rsidRDefault="00221487" w:rsidP="00221487">
      <w:pPr>
        <w:spacing w:after="0" w:line="240" w:lineRule="auto"/>
        <w:jc w:val="both"/>
        <w:rPr>
          <w:rFonts w:ascii="Times New Roman" w:eastAsia="Times" w:hAnsi="Times New Roman" w:cs="Times New Roman"/>
          <w:b/>
          <w:i/>
          <w:noProof/>
          <w:sz w:val="24"/>
          <w:szCs w:val="24"/>
          <w:highlight w:val="yellow"/>
          <w:lang w:val="sq-AL"/>
        </w:rPr>
      </w:pP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Bazuar në modelin e BE/OECD për Menaxhimin e Riskut të Përmbushjes (MRP), në takimin e pesëmbëdhjetë të Komitetit të Përmbushjes së DPT-së, që u mbajt më 4 maj 2018, u aprovua Plani për Sezonin Turistik për monitorimin e aktiviteteve turistike dhe menaxhimin e riskut të përmbushjes për vitin 2018. </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Disa nga objektivat kryesore të planit për sezonin turistik ishin: </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w:t>
      </w:r>
      <w:r w:rsidRPr="00221487">
        <w:rPr>
          <w:rFonts w:ascii="Times New Roman" w:eastAsia="Times" w:hAnsi="Times New Roman" w:cs="Times New Roman"/>
          <w:noProof/>
          <w:sz w:val="24"/>
          <w:szCs w:val="24"/>
          <w:lang w:val="sq-AL"/>
        </w:rPr>
        <w:tab/>
        <w:t xml:space="preserve">Ndërgjegjësimi i publikut mbi përgjegjësitë tatimore të subjekteve që operojnë në këtë sektor. </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w:t>
      </w:r>
      <w:r w:rsidRPr="00221487">
        <w:rPr>
          <w:rFonts w:ascii="Times New Roman" w:eastAsia="Times" w:hAnsi="Times New Roman" w:cs="Times New Roman"/>
          <w:noProof/>
          <w:sz w:val="24"/>
          <w:szCs w:val="24"/>
          <w:lang w:val="sq-AL"/>
        </w:rPr>
        <w:tab/>
        <w:t xml:space="preserve">Ofrimi i asistencës ndaj kërkesave të tatimpaguesve; </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w:t>
      </w:r>
      <w:r w:rsidRPr="00221487">
        <w:rPr>
          <w:rFonts w:ascii="Times New Roman" w:eastAsia="Times" w:hAnsi="Times New Roman" w:cs="Times New Roman"/>
          <w:noProof/>
          <w:sz w:val="24"/>
          <w:szCs w:val="24"/>
          <w:lang w:val="sq-AL"/>
        </w:rPr>
        <w:tab/>
        <w:t>Ndërgjegjësimi i publikut për marrjen e kuponit tatimor</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w:t>
      </w:r>
      <w:r w:rsidRPr="00221487">
        <w:rPr>
          <w:rFonts w:ascii="Times New Roman" w:eastAsia="Times" w:hAnsi="Times New Roman" w:cs="Times New Roman"/>
          <w:noProof/>
          <w:sz w:val="24"/>
          <w:szCs w:val="24"/>
          <w:lang w:val="sq-AL"/>
        </w:rPr>
        <w:tab/>
        <w:t>Ulja e evazionit fiskal, rritja e të ardhurave tatimore dhe krijimi i vendeve të reja të punës.</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Plani u zbatua gjatë periudhës maj – shtator 2018 dhe u shtri në të gjitha zonat e rëndësishme që ofrojnë shërbime turistike në vend. Falë komunikimit të vazhdueshëm, ky plan u fokusua kryesisht në ndërgjegjësimin e publikut dhe ofrimin e informacionit për të gjithë tatimpaguesit dhe individët për të respektuar legjislacionin në fuqi. </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Gjatë vitit 2018, iu bënë ndryshime Manualit për Menaxhimin e Riskut të Përmbushjes në Komitetin nr. 18 i datës 28.09.2018 dhe në Komitetin e Përmbushjes Nr.18 / 1 dt.08.10.2018. Një produkt tjetër i rëndësishëm ishte rekrutimi, trajnimi dhe monitorimi i stafit, për të garantuar se qasja e re prodhon rezultate. Është e rëndësishme të vazhdojnë këto aktivitete pasi ndihmojnë në ngritjen e kapaciteteve të inspektorëve. Gjatë vitit 2018 janë kryer disa trajnime: </w:t>
      </w:r>
    </w:p>
    <w:p w:rsidR="00221487" w:rsidRPr="00221487" w:rsidRDefault="00221487" w:rsidP="007C6F79">
      <w:pPr>
        <w:numPr>
          <w:ilvl w:val="0"/>
          <w:numId w:val="13"/>
        </w:numPr>
        <w:spacing w:after="0" w:line="240" w:lineRule="auto"/>
        <w:contextualSpacing/>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Trajnimi nga FMN-ja për të hartuar regjistrin e riskut dhe profileve demografike, më 27 shkurt – 8 mars 2018. </w:t>
      </w:r>
    </w:p>
    <w:p w:rsidR="00221487" w:rsidRPr="00221487" w:rsidRDefault="00221487" w:rsidP="007C6F79">
      <w:pPr>
        <w:numPr>
          <w:ilvl w:val="0"/>
          <w:numId w:val="13"/>
        </w:numPr>
        <w:spacing w:after="0" w:line="240" w:lineRule="auto"/>
        <w:contextualSpacing/>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Trajnim nga INSTAT "Për zbatimin e nomenklaturës së aktiviteteve ekonomike”, datë 19/04/2018.  </w:t>
      </w:r>
    </w:p>
    <w:p w:rsidR="00221487" w:rsidRPr="00221487" w:rsidRDefault="00221487" w:rsidP="007C6F79">
      <w:pPr>
        <w:numPr>
          <w:ilvl w:val="0"/>
          <w:numId w:val="13"/>
        </w:numPr>
        <w:spacing w:after="0" w:line="240" w:lineRule="auto"/>
        <w:contextualSpacing/>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Trajnim nga FNM për projektimin dhe përdorimin e planit të riskut sektorial për sektorin e kafeneve dhe të restoranteve, më 23 shtator, 12 nëntor dhe 5-23 nëntor. </w:t>
      </w:r>
    </w:p>
    <w:p w:rsidR="00221487" w:rsidRPr="00221487" w:rsidRDefault="00221487" w:rsidP="007C6F79">
      <w:pPr>
        <w:numPr>
          <w:ilvl w:val="0"/>
          <w:numId w:val="13"/>
        </w:numPr>
        <w:spacing w:after="0" w:line="240" w:lineRule="auto"/>
        <w:contextualSpacing/>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Trajnim i organizuar nga OECD me temën “Administrata Tatimore: sipërmarrjet e vogla dhe të mesme -  një sistem për të përmirësuar pajtueshmërinë e sektorit informal” më 16-20 korrik në Ankara, Turqi.</w:t>
      </w:r>
    </w:p>
    <w:p w:rsidR="00221487" w:rsidRPr="00221487" w:rsidRDefault="00221487" w:rsidP="00221487">
      <w:pPr>
        <w:spacing w:after="0" w:line="240" w:lineRule="auto"/>
        <w:jc w:val="both"/>
        <w:rPr>
          <w:rFonts w:ascii="Times New Roman" w:eastAsia="Times New Roman" w:hAnsi="Times New Roman" w:cs="Times New Roman"/>
          <w:noProof/>
          <w:sz w:val="24"/>
          <w:szCs w:val="24"/>
          <w:highlight w:val="yellow"/>
          <w:lang w:val="sq-AL"/>
        </w:rPr>
      </w:pPr>
      <w:r w:rsidRPr="00221487">
        <w:rPr>
          <w:rFonts w:ascii="Times New Roman" w:eastAsia="Times New Roman" w:hAnsi="Times New Roman" w:cs="Times New Roman"/>
          <w:noProof/>
          <w:sz w:val="24"/>
          <w:szCs w:val="24"/>
          <w:lang w:val="sq-AL"/>
        </w:rPr>
        <w:t>Ka përfunduar puna që lidhet me profilet demografike dhe është krijuar regjistri i riskut në takimin e 14-të të Komitetit të Përmbushjes së DPT-së, i mbajtur më 16.04.2018.</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p>
    <w:p w:rsidR="00221487" w:rsidRPr="00221487" w:rsidRDefault="00221487" w:rsidP="00221487">
      <w:pPr>
        <w:spacing w:after="0" w:line="240" w:lineRule="auto"/>
        <w:jc w:val="both"/>
        <w:rPr>
          <w:rFonts w:ascii="Times New Roman" w:eastAsia="Times" w:hAnsi="Times New Roman" w:cs="Times New Roman"/>
          <w:b/>
          <w:i/>
          <w:noProof/>
          <w:sz w:val="24"/>
          <w:szCs w:val="24"/>
          <w:lang w:val="sq-AL"/>
        </w:rPr>
      </w:pPr>
      <w:r w:rsidRPr="00221487">
        <w:rPr>
          <w:rFonts w:ascii="Times New Roman" w:eastAsia="Times" w:hAnsi="Times New Roman" w:cs="Times New Roman"/>
          <w:b/>
          <w:noProof/>
          <w:sz w:val="24"/>
          <w:szCs w:val="24"/>
          <w:lang w:val="sq-AL"/>
        </w:rPr>
        <w:t xml:space="preserve">Masa 3: Rishikimi i sistemit të kasave fiskale dhe nxitja e përdorimit të tyre </w:t>
      </w:r>
      <w:r w:rsidRPr="00221487">
        <w:rPr>
          <w:rFonts w:ascii="Times New Roman" w:eastAsia="Times" w:hAnsi="Times New Roman" w:cs="Times New Roman"/>
          <w:b/>
          <w:i/>
          <w:noProof/>
          <w:sz w:val="24"/>
          <w:szCs w:val="24"/>
          <w:lang w:val="sq-AL"/>
        </w:rPr>
        <w:t xml:space="preserve">(në proces/ </w:t>
      </w:r>
      <w:r w:rsidRPr="00221487">
        <w:rPr>
          <w:rFonts w:ascii="Times New Roman" w:hAnsi="Times New Roman" w:cs="Times New Roman"/>
          <w:b/>
          <w:i/>
          <w:noProof/>
          <w:sz w:val="24"/>
          <w:szCs w:val="24"/>
          <w:lang w:val="sq-AL"/>
        </w:rPr>
        <w:t>me vonesë</w:t>
      </w:r>
      <w:r w:rsidRPr="00221487">
        <w:rPr>
          <w:rFonts w:ascii="Times New Roman" w:eastAsia="Times" w:hAnsi="Times New Roman" w:cs="Times New Roman"/>
          <w:b/>
          <w:i/>
          <w:noProof/>
          <w:sz w:val="24"/>
          <w:szCs w:val="24"/>
          <w:lang w:val="sq-AL"/>
        </w:rPr>
        <w:t>)</w:t>
      </w:r>
    </w:p>
    <w:p w:rsidR="00221487" w:rsidRPr="00221487" w:rsidRDefault="00221487" w:rsidP="00221487">
      <w:pPr>
        <w:spacing w:after="0" w:line="240" w:lineRule="auto"/>
        <w:jc w:val="both"/>
        <w:rPr>
          <w:rFonts w:ascii="Times New Roman" w:eastAsia="Times" w:hAnsi="Times New Roman" w:cs="Times New Roman"/>
          <w:b/>
          <w:i/>
          <w:noProof/>
          <w:color w:val="FF0000"/>
          <w:sz w:val="24"/>
          <w:szCs w:val="24"/>
          <w:lang w:val="sq-AL"/>
        </w:rPr>
      </w:pP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Objektivi kryesor i këtij projekti është përmirësimi i shërbimeve që ofron administrata tatimore e në të njëjtën kohë të përdoren në mënyrë sa më efikase burimet, të luftohet mashtrimi dhe evazioni fiskal dhe të ulet deficiti tatimor dhe të rriten të ardhurat tatimore, por në të njëjtën kohë të mbahen shpenzimet e tatimpaguesve në nivele sa më të ulëta. Kjo është e mundshme të realizohet duke përdorur një sistem të përmirësuar për menaxhimin e transaksioneve monetare dhe lëvizjet jo-monetare, në kohë reale. Në këtë kuadër, qeveria vazhdon përpjekjet të mundësojë transmetimin e të dhënave nga kasat fiskale te bazat e të dhënave të DPT-së, në kohë reale. MFE-ja (buxheti i administratës tatimore) ka financuar një </w:t>
      </w:r>
      <w:r w:rsidRPr="00221487">
        <w:rPr>
          <w:rFonts w:ascii="Times New Roman" w:eastAsia="Times" w:hAnsi="Times New Roman" w:cs="Times New Roman"/>
          <w:noProof/>
          <w:sz w:val="24"/>
          <w:szCs w:val="24"/>
          <w:lang w:val="sq-AL"/>
        </w:rPr>
        <w:lastRenderedPageBreak/>
        <w:t xml:space="preserve">projekt dhe bazuar në përvojën e DPT-së të Kroacisë, në bashkëpunim me AKSHI-n, ka përgatitur termat e referencës për projektin (TeR të projektit). Është nënshkruar marrëveshja për zbatimin e tij, nr. 6756 datë 11.27.2018 dhe po vijon sipas planit nga DPT-ja dhe AKSHI. Gjithashtu, autoriteti për zhvillimin e projektit ka hartuar planin e punës për zbatimin e tij (zbatimin e programit softuer dhe hardware). Projekti po zhvillohet nga një konsortium që përfshin operatorët ekonomikë: Jehona Software sh.p.k, Neos d.o.o, dhe Datech sh.p.k. Krahas marrjes së informacionit në kohë reale, projekti do të mbulojë edhe funksionet më poshtë: </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Pagesat në të holla (cash) (qytetarët)</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Pagesat jo në të holla (bizneset)</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Mbështetje për inspektorët e auditimit</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Menaxhimi i performancës</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 Kontrolli analitik për analizën e të dhënave për ato të dhëna në internet të pastrukturuara; </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Aplikimi i taksës për lokalizimin e tatimpaguesve (GTA) dhe aplikimet për menaxhimin e riskut.</w:t>
      </w:r>
    </w:p>
    <w:p w:rsidR="00221487" w:rsidRPr="00221487" w:rsidRDefault="00221487" w:rsidP="00221487">
      <w:pPr>
        <w:spacing w:after="0" w:line="240" w:lineRule="auto"/>
        <w:jc w:val="both"/>
        <w:rPr>
          <w:rFonts w:ascii="Times New Roman" w:eastAsia="Times" w:hAnsi="Times New Roman" w:cs="Times New Roman"/>
          <w:noProof/>
          <w:sz w:val="24"/>
          <w:szCs w:val="24"/>
          <w:highlight w:val="yellow"/>
          <w:lang w:val="sq-AL"/>
        </w:rPr>
      </w:pPr>
    </w:p>
    <w:p w:rsidR="00221487" w:rsidRPr="00221487" w:rsidRDefault="00221487" w:rsidP="00221487">
      <w:pPr>
        <w:spacing w:after="0" w:line="240" w:lineRule="auto"/>
        <w:jc w:val="both"/>
        <w:rPr>
          <w:rFonts w:ascii="Times New Roman" w:eastAsia="Times" w:hAnsi="Times New Roman" w:cs="Times New Roman"/>
          <w:b/>
          <w:i/>
          <w:noProof/>
          <w:sz w:val="24"/>
          <w:szCs w:val="24"/>
          <w:lang w:val="sq-AL"/>
        </w:rPr>
      </w:pPr>
      <w:r w:rsidRPr="00221487">
        <w:rPr>
          <w:rFonts w:ascii="Times New Roman" w:eastAsia="Times" w:hAnsi="Times New Roman" w:cs="Times New Roman"/>
          <w:b/>
          <w:noProof/>
          <w:sz w:val="24"/>
          <w:szCs w:val="24"/>
          <w:lang w:val="sq-AL"/>
        </w:rPr>
        <w:t xml:space="preserve">Masa 4: Krijimi një kadastrës fiskale të pronave </w:t>
      </w:r>
      <w:r w:rsidRPr="00221487">
        <w:rPr>
          <w:rFonts w:ascii="Times New Roman" w:eastAsia="Times" w:hAnsi="Times New Roman" w:cs="Times New Roman"/>
          <w:b/>
          <w:i/>
          <w:noProof/>
          <w:sz w:val="24"/>
          <w:szCs w:val="24"/>
          <w:lang w:val="sq-AL"/>
        </w:rPr>
        <w:t xml:space="preserve">(në proces/ </w:t>
      </w:r>
      <w:r w:rsidRPr="00221487">
        <w:rPr>
          <w:rFonts w:ascii="Times New Roman" w:hAnsi="Times New Roman" w:cs="Times New Roman"/>
          <w:b/>
          <w:i/>
          <w:noProof/>
          <w:sz w:val="24"/>
          <w:szCs w:val="24"/>
          <w:lang w:val="sq-AL"/>
        </w:rPr>
        <w:t>sipas planit</w:t>
      </w:r>
      <w:r w:rsidRPr="00221487">
        <w:rPr>
          <w:rFonts w:ascii="Times New Roman" w:eastAsia="Times" w:hAnsi="Times New Roman" w:cs="Times New Roman"/>
          <w:b/>
          <w:i/>
          <w:noProof/>
          <w:sz w:val="24"/>
          <w:szCs w:val="24"/>
          <w:lang w:val="sq-AL"/>
        </w:rPr>
        <w:t>)</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Gjatë vitit 2018 MFE-ja, e asistuar nga Agjencia Suedeze për Zhvillim Ndërkombëtar (SIDA), ka punuar për të krijuar sistemin e kadastrës fiskale në të gjitha bashkitë (61). Në MFE u krijua Drejtoria e Përgjithshme për Taksën mbi Pronën, gjatë tremujorit të parë të vitit 2018, si dhe MFE-ja përfundoi aktet nënligjore si më poshtë: </w:t>
      </w:r>
    </w:p>
    <w:p w:rsidR="00221487" w:rsidRPr="00221487" w:rsidRDefault="00221487" w:rsidP="007C6F79">
      <w:pPr>
        <w:numPr>
          <w:ilvl w:val="1"/>
          <w:numId w:val="15"/>
        </w:numPr>
        <w:tabs>
          <w:tab w:val="left" w:pos="1170"/>
        </w:tabs>
        <w:spacing w:after="0" w:line="240" w:lineRule="auto"/>
        <w:ind w:left="540" w:hanging="180"/>
        <w:contextualSpacing/>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VKM nr.132, datë 07.03.2018 "Për metodologjinë e taksës mbi pronën". </w:t>
      </w:r>
    </w:p>
    <w:p w:rsidR="00221487" w:rsidRPr="00221487" w:rsidRDefault="00221487" w:rsidP="007C6F79">
      <w:pPr>
        <w:numPr>
          <w:ilvl w:val="1"/>
          <w:numId w:val="15"/>
        </w:numPr>
        <w:tabs>
          <w:tab w:val="left" w:pos="1170"/>
        </w:tabs>
        <w:spacing w:after="0" w:line="240" w:lineRule="auto"/>
        <w:ind w:left="540" w:hanging="180"/>
        <w:contextualSpacing/>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VKM nr.171, datë 28.03.2018 "Për organizimin dhe funksionimin e Drejtorisë së Përgjithshme të Taksës së Pronës". </w:t>
      </w:r>
    </w:p>
    <w:p w:rsidR="00221487" w:rsidRPr="00221487" w:rsidRDefault="00221487" w:rsidP="007C6F79">
      <w:pPr>
        <w:numPr>
          <w:ilvl w:val="1"/>
          <w:numId w:val="15"/>
        </w:numPr>
        <w:tabs>
          <w:tab w:val="left" w:pos="1170"/>
        </w:tabs>
        <w:spacing w:after="0" w:line="240" w:lineRule="auto"/>
        <w:ind w:left="540" w:hanging="180"/>
        <w:contextualSpacing/>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VKM nr.273, datë 16.05.2018 “Për krijimin e Regjistrit Qendror të Bazës të të Dhënave për përllogaritjen e taksës vendore mbi pasurinë, ndërtesat”</w:t>
      </w:r>
    </w:p>
    <w:p w:rsidR="00221487" w:rsidRPr="00221487" w:rsidRDefault="00221487" w:rsidP="007C6F79">
      <w:pPr>
        <w:numPr>
          <w:ilvl w:val="1"/>
          <w:numId w:val="15"/>
        </w:numPr>
        <w:tabs>
          <w:tab w:val="left" w:pos="1170"/>
        </w:tabs>
        <w:spacing w:after="0" w:line="240" w:lineRule="auto"/>
        <w:ind w:left="540" w:hanging="180"/>
        <w:contextualSpacing/>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VKM  nr.235, datë 02.05.2018 "Për miratimin në parim të Marrëveshjes së Kontributit ndërmjet Qeverisë së Republikës së Shqipërisë, përfaqësuar nga Ministria e Financave dhe Ekonomisë (Marrësi) dhe Agjencisë Suedeze për Zhvillim Ndërkombëtar (SIDA), për mbështetjen e projektit  "Zbatimi i taksës mbi pronën bazuar në vlerën e tregut, versioni 0.93, datë 20 shkurt 2018 ". Krijimi i kadastrës fiskale do të financohet nga SIDA me një vlerë prej 3.6 milion Euro dhe do të hyjë në fuqi Vendimi i Këshillit të Ministrave për të mundësuar që marrëveshja e grantit të përfundojë dy javët në vijim. </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E gjithë paketa ligjore lidhet më kadastrën fiskale si projekt dhe jo si regjistër për bazën e të dhënave. Për më tepër, më 28 maj, MFE-ja nisi punën bashkë me AKSHi-n për ndërtimin e anës virtuale (serveri dhe softueri) të kadastrës fiskale. Janë marrë një numër provëzash me të dhëna nga baza e të dhënave që do të përdoren kadastrën fiskale, për të filluar testimin paraprak të sistemit. Projekti i kadastrës fiskale është shtrirë në gjithë vendin, pra përfshin 61 bashkitë dhe jo vetëm katër bashkitë pilote. </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Plani fillestar ishte të caktohej një agjent kombëtar për mbledhjen e taksës mbi pronën dhe për këtë u mendua që të zgjidhej OSHEE. Gjatë muajit shtator 2018, MFE-ja u konsultua me qeverinë vendore mbi alternativën për të përdorur OSHEE-në si agjent qendror. Në muajin tetor 2018 u mor vendimi se janë bashkitë ato që duhet të veprojnë si agjent për mbledhjen e taksës së pronës, pa qenë nevoja për një agjent të centralizuar. Taksa mbi pronën do të vazhdojë të mblidhet përmes të njëjtave forma që përdoren për të mbledhur taksat. Ka disa bashki që do të përdorin zyrat tatimore në bashki dhe të tjera që do përdorin kompanitë e ujësjellësit si agjentë për mbledhjen taksës mbi pronën.  </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Në lidhje me regjistrimin e pronave nga qeveria lokale, më 5 nëntor 2018 u lançua Sistemi Informatik për Kadastrën Fiskalë, që ndodhet në të 61 bashkitë. Në këtë sistem bashkitë mund të kryejnë regjistrimin e thuajse 1.5 milion strukturave (ndërtesa). Deri në muajin nëntor, bazuar në censusin e OSHEE-së, ishin identifikuar rreth 600,000 struktura pronash nga pronari/zotëruesi i sipërfaqes. Duke </w:t>
      </w:r>
      <w:r w:rsidRPr="00221487">
        <w:rPr>
          <w:rFonts w:ascii="Times New Roman" w:eastAsia="Times New Roman" w:hAnsi="Times New Roman" w:cs="Times New Roman"/>
          <w:noProof/>
          <w:sz w:val="24"/>
          <w:szCs w:val="24"/>
          <w:lang w:val="sq-AL"/>
        </w:rPr>
        <w:lastRenderedPageBreak/>
        <w:t>filluar nga 5 nëntori 2018, të gjitha bashkitë filluan regjistrimin e pronave/njësive të mbetura. Si hap të radhës, Sistemi i Kadastrës Fiskale duhet të kryejë vlerësimin e taksës për çdo pronë, për të mbledhur informacionin e duhur në mënyrë që pas muajit janar 2019 të merret Vendimi i Këshillit të Ministrave për taksën mbi pronën.</w:t>
      </w:r>
    </w:p>
    <w:p w:rsidR="00221487" w:rsidRPr="00221487" w:rsidRDefault="00221487" w:rsidP="00221487">
      <w:pPr>
        <w:spacing w:after="0" w:line="240" w:lineRule="auto"/>
        <w:jc w:val="both"/>
        <w:rPr>
          <w:rFonts w:ascii="Times New Roman" w:eastAsia="Times New Roman" w:hAnsi="Times New Roman" w:cs="Times New Roman"/>
          <w:noProof/>
          <w:sz w:val="24"/>
          <w:szCs w:val="24"/>
          <w:highlight w:val="yellow"/>
          <w:lang w:val="sq-AL"/>
        </w:rPr>
      </w:pPr>
    </w:p>
    <w:p w:rsidR="00221487" w:rsidRPr="00221487" w:rsidRDefault="00221487" w:rsidP="00221487">
      <w:pPr>
        <w:spacing w:after="0" w:line="240" w:lineRule="auto"/>
        <w:jc w:val="both"/>
        <w:rPr>
          <w:rFonts w:ascii="Times New Roman" w:eastAsia="Times New Roman" w:hAnsi="Times New Roman" w:cs="Times New Roman"/>
          <w:b/>
          <w:noProof/>
          <w:sz w:val="24"/>
          <w:szCs w:val="24"/>
          <w:highlight w:val="yellow"/>
          <w:lang w:val="sq-AL"/>
        </w:rPr>
      </w:pPr>
      <w:r w:rsidRPr="00221487">
        <w:rPr>
          <w:rFonts w:ascii="Times New Roman" w:eastAsia="Times New Roman" w:hAnsi="Times New Roman" w:cs="Times New Roman"/>
          <w:b/>
          <w:noProof/>
          <w:sz w:val="24"/>
          <w:szCs w:val="24"/>
          <w:lang w:val="sq-AL"/>
        </w:rPr>
        <w:t xml:space="preserve">Masa 5: Forcimi i kapacitetit profesional të personelit të DPT-së nëpërmjet trajnimit të vazhdueshëm. </w:t>
      </w:r>
      <w:r w:rsidRPr="00221487">
        <w:rPr>
          <w:rFonts w:ascii="Times New Roman" w:eastAsia="Times" w:hAnsi="Times New Roman" w:cs="Times New Roman"/>
          <w:b/>
          <w:i/>
          <w:noProof/>
          <w:sz w:val="24"/>
          <w:szCs w:val="24"/>
          <w:lang w:val="sq-AL"/>
        </w:rPr>
        <w:t>(e plotësuar)</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p>
    <w:p w:rsidR="00221487" w:rsidRPr="00221487" w:rsidRDefault="00221487" w:rsidP="00221487">
      <w:pPr>
        <w:spacing w:after="0" w:line="240" w:lineRule="auto"/>
        <w:jc w:val="both"/>
        <w:rPr>
          <w:rFonts w:ascii="Times New Roman" w:eastAsia="Times New Roman" w:hAnsi="Times New Roman" w:cs="Times New Roman"/>
          <w:noProof/>
          <w:sz w:val="24"/>
          <w:szCs w:val="24"/>
          <w:highlight w:val="yellow"/>
          <w:lang w:val="sq-AL"/>
        </w:rPr>
      </w:pPr>
      <w:r w:rsidRPr="00221487">
        <w:rPr>
          <w:rFonts w:ascii="Times New Roman" w:eastAsia="Times New Roman" w:hAnsi="Times New Roman" w:cs="Times New Roman"/>
          <w:noProof/>
          <w:sz w:val="24"/>
          <w:szCs w:val="24"/>
          <w:lang w:val="sq-AL"/>
        </w:rPr>
        <w:t xml:space="preserve">Çdo vit, DPT-ja përgatit një program trajnimi me të gjitha temat, sipas nevojave për trajnim për stafin e Drejtorive Rajonale dhe të Drejtorisë së Përgjithshme të Tatimeve si dhe bazuar në nevojat e punonjësve dhe të eprorëve, nevoja të cilat merren nga formularët e vlerësimit të performancës në punë. </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Në përputhje me programin vjetor të trajnimit për vitin 2018, aprovuar me Vendim të Drejtorit të Përgjithshëm të Tatimeve, nr. 57, datë 06.01.2018 dhe në bashkëpunim me Qendrën e Trajnimit për Administratën Tatimore dhe Doganore (QTAD), SHAP-in, Institutin e Statistikave INSTAT, Grupin AGNA Prokurorinë e Përgjithshme (sektori për hetimin tatimor në PP), nga muaji shkurt 2018 e deri në muajin dhjetor 2018, u trajnuan në total 1,745 punonjës (nga të gjitha nivelet e administratës) për temat më poshtës:</w:t>
      </w:r>
    </w:p>
    <w:p w:rsidR="00221487" w:rsidRPr="00221487" w:rsidRDefault="00221487" w:rsidP="007C6F79">
      <w:pPr>
        <w:numPr>
          <w:ilvl w:val="0"/>
          <w:numId w:val="29"/>
        </w:numPr>
        <w:spacing w:after="0" w:line="300" w:lineRule="exact"/>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Ndryshimet në ligjin për TVSH (ndryshimet për detyrimin tatimor për vlerat mbi 2 milion LEK); </w:t>
      </w:r>
    </w:p>
    <w:p w:rsidR="00221487" w:rsidRPr="00221487" w:rsidRDefault="00221487" w:rsidP="007C6F79">
      <w:pPr>
        <w:numPr>
          <w:ilvl w:val="0"/>
          <w:numId w:val="29"/>
        </w:numPr>
        <w:spacing w:after="0" w:line="300" w:lineRule="exact"/>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Auditimi tatimor – organizimi dhe detyrat operacional. Modulet për kontrollin me shembuj konkretë (Manuali për Auditimin Tatimor). </w:t>
      </w:r>
    </w:p>
    <w:p w:rsidR="00221487" w:rsidRPr="00221487" w:rsidRDefault="00221487" w:rsidP="007C6F79">
      <w:pPr>
        <w:numPr>
          <w:ilvl w:val="0"/>
          <w:numId w:val="29"/>
        </w:numPr>
        <w:spacing w:after="0" w:line="300" w:lineRule="exact"/>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Mbledhja e të ardhurave tatimore. Organizimi dhe detyrat operacionale (Manuali për Mbledhjen e Borxhit); </w:t>
      </w:r>
    </w:p>
    <w:p w:rsidR="00221487" w:rsidRPr="00221487" w:rsidRDefault="00221487" w:rsidP="007C6F79">
      <w:pPr>
        <w:numPr>
          <w:ilvl w:val="0"/>
          <w:numId w:val="29"/>
        </w:numPr>
        <w:spacing w:after="0" w:line="300" w:lineRule="exact"/>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Organizimi, funksionet e administratës tatimore, Kodi i Etikës, konflikti i interesit, procedurat disiplinare, dhe procedurat për vlerësimin e rezultateve të punës; </w:t>
      </w:r>
    </w:p>
    <w:p w:rsidR="00221487" w:rsidRPr="00221487" w:rsidRDefault="00221487" w:rsidP="007C6F79">
      <w:pPr>
        <w:numPr>
          <w:ilvl w:val="0"/>
          <w:numId w:val="29"/>
        </w:numPr>
        <w:spacing w:after="0" w:line="300" w:lineRule="exact"/>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Shërbimi i tatimpaguesve (Manuali i Procedurave).</w:t>
      </w:r>
    </w:p>
    <w:p w:rsidR="00221487" w:rsidRPr="00221487" w:rsidRDefault="00221487" w:rsidP="007C6F79">
      <w:pPr>
        <w:numPr>
          <w:ilvl w:val="0"/>
          <w:numId w:val="29"/>
        </w:numPr>
        <w:spacing w:after="0" w:line="300" w:lineRule="exact"/>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Sistemi C @ TS.</w:t>
      </w:r>
    </w:p>
    <w:p w:rsidR="00221487" w:rsidRPr="00221487" w:rsidRDefault="00221487" w:rsidP="007C6F79">
      <w:pPr>
        <w:numPr>
          <w:ilvl w:val="0"/>
          <w:numId w:val="29"/>
        </w:numPr>
        <w:spacing w:after="0" w:line="300" w:lineRule="exact"/>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Ligji dhe Udhëzimet për Tatimin mbi të Ardhurat.</w:t>
      </w:r>
    </w:p>
    <w:p w:rsidR="00221487" w:rsidRPr="00221487" w:rsidRDefault="00221487" w:rsidP="007C6F79">
      <w:pPr>
        <w:numPr>
          <w:ilvl w:val="0"/>
          <w:numId w:val="29"/>
        </w:numPr>
        <w:spacing w:after="0" w:line="300" w:lineRule="exact"/>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Ndryshime në ligjin "Për procedurat tatimore" (Paketa fiskale),</w:t>
      </w:r>
    </w:p>
    <w:p w:rsidR="00221487" w:rsidRPr="00221487" w:rsidRDefault="00221487" w:rsidP="007C6F79">
      <w:pPr>
        <w:numPr>
          <w:ilvl w:val="0"/>
          <w:numId w:val="29"/>
        </w:numPr>
        <w:spacing w:after="0" w:line="300" w:lineRule="exact"/>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Ligji nr. 10296 datë 08.07.2010 "Menaxhimi Financiar dhe Kontrolli" i ndryshuar, dhe Ligji nr. 9936 dated 26.06.2008 "Për menaxhimin e sistemit buxhetor të Republikës së Shqipërisë”, i ndryshuar (Financa dhe buxheti); </w:t>
      </w:r>
    </w:p>
    <w:p w:rsidR="00221487" w:rsidRPr="00221487" w:rsidRDefault="00221487" w:rsidP="00221487">
      <w:pPr>
        <w:spacing w:after="0" w:line="300" w:lineRule="exact"/>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Gjithashtu, u organizuan një numër trajnimesh që nuk ishin përfshirë në kalendarin e trajnimeve, si më poshtë:</w:t>
      </w:r>
    </w:p>
    <w:p w:rsidR="00221487" w:rsidRPr="00221487" w:rsidRDefault="00221487" w:rsidP="007C6F79">
      <w:pPr>
        <w:numPr>
          <w:ilvl w:val="0"/>
          <w:numId w:val="30"/>
        </w:numPr>
        <w:spacing w:after="0" w:line="300" w:lineRule="exact"/>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U trajnuan 90 inspektorë të hetimit tatimor, në bashkëpunim me TCAT, për Ligjin Nr. 9920 të datës 19.05.2008 “Për procedurat tatimore në Republikën e Shqipërisë”, i ndryshuar, dhe Ligji nr. 9131, datë 08.09.2003 "Për Rregullat e Etikës në Administratën Publike”, për zbulimin, parandalimin dhe denoncimin e rasteve të korrupsionit dhe shpërdorimit të detyrës, si dhe për rregulloren dhe manualin e Drejtorisë së Hetimit Tatimor; </w:t>
      </w:r>
    </w:p>
    <w:p w:rsidR="00221487" w:rsidRPr="00221487" w:rsidRDefault="00221487" w:rsidP="007C6F79">
      <w:pPr>
        <w:numPr>
          <w:ilvl w:val="0"/>
          <w:numId w:val="30"/>
        </w:numPr>
        <w:spacing w:after="0" w:line="300" w:lineRule="exact"/>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U trajnuan 75 punonjës, në bashkëpunim me TCATC dhe Prokurorinë e Rrethit Gjyqësor të Tiranës për “Evazionin Fiskal dhe Shkeljet Penale në fushën tatimore”;  </w:t>
      </w:r>
    </w:p>
    <w:p w:rsidR="00221487" w:rsidRPr="00221487" w:rsidRDefault="00221487" w:rsidP="007C6F79">
      <w:pPr>
        <w:numPr>
          <w:ilvl w:val="0"/>
          <w:numId w:val="30"/>
        </w:numPr>
        <w:spacing w:after="0" w:line="300" w:lineRule="exact"/>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Janë trajnuar 105 punonjës nga struktura e hetimit tatimor, auditimit tatimor, shërbimet tatimpaguese dhe drejtoritë e menaxhimit të riskut në DPT dhe nga drejtoritë vendore për “Njohuritë mbi Kodet Ekonomike”;  </w:t>
      </w:r>
    </w:p>
    <w:p w:rsidR="00221487" w:rsidRPr="00221487" w:rsidRDefault="00221487" w:rsidP="007C6F79">
      <w:pPr>
        <w:numPr>
          <w:ilvl w:val="0"/>
          <w:numId w:val="30"/>
        </w:numPr>
        <w:spacing w:after="0" w:line="300" w:lineRule="exact"/>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lastRenderedPageBreak/>
        <w:t xml:space="preserve">Në bashkëpunim me Grupin AGNA, për nivelin e lartë drejtues, u organizuan trajnime për “Modulet për Udhëheqjen” dhe u trajnuan në total 30 punonjës të nivelit të lartë drejtues nga Drejtoria e Përgjithshme dhe Drejtoritë Vendore;  </w:t>
      </w:r>
    </w:p>
    <w:p w:rsidR="00221487" w:rsidRPr="00221487" w:rsidRDefault="00221487" w:rsidP="007C6F79">
      <w:pPr>
        <w:numPr>
          <w:ilvl w:val="0"/>
          <w:numId w:val="30"/>
        </w:numPr>
        <w:spacing w:after="0" w:line="300" w:lineRule="exact"/>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U organizua trajnim për “Standardet Kombëtare dhe Ndërkombëtare të Kontabilitetit” për nivelin e mesëm drejtues dhe nivelin ekzekutiv (inspektorët e auditimit/shefat e sektorëve të auditimit”, në total janë trajnuar 210 punonjës nga Administrata Qendrore Tatimore; </w:t>
      </w:r>
    </w:p>
    <w:p w:rsidR="00221487" w:rsidRPr="00221487" w:rsidRDefault="00221487" w:rsidP="007C6F79">
      <w:pPr>
        <w:numPr>
          <w:ilvl w:val="0"/>
          <w:numId w:val="30"/>
        </w:numPr>
        <w:spacing w:after="0" w:line="300" w:lineRule="exact"/>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Në peridhën nëntor – dhjetor 2018, 75 punonjës nga Drejtoria e Shërbimit të Tatimpaguesve u trajnuan për Kodin e Etikës së shërbimit të tatimpaguesve.</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Veç këtyre, u trajnuan dhe kaluan me sukses periudhën e provës 7 punonjës, të cilët morën certifikimin e SHAP-it si nëpunës civil; </w:t>
      </w:r>
    </w:p>
    <w:p w:rsidR="00221487" w:rsidRPr="00221487" w:rsidRDefault="00221487" w:rsidP="00221487">
      <w:pPr>
        <w:spacing w:after="0" w:line="240" w:lineRule="auto"/>
        <w:jc w:val="both"/>
        <w:rPr>
          <w:rFonts w:ascii="Times New Roman" w:eastAsia="Times New Roman" w:hAnsi="Times New Roman" w:cs="Times New Roman"/>
          <w:bCs/>
          <w:noProof/>
          <w:sz w:val="24"/>
          <w:szCs w:val="24"/>
          <w:lang w:val="sq-AL"/>
        </w:rPr>
      </w:pPr>
      <w:r w:rsidRPr="00221487">
        <w:rPr>
          <w:rFonts w:ascii="Times New Roman" w:eastAsia="Times New Roman" w:hAnsi="Times New Roman" w:cs="Times New Roman"/>
          <w:noProof/>
          <w:sz w:val="24"/>
          <w:szCs w:val="24"/>
          <w:lang w:val="sq-AL"/>
        </w:rPr>
        <w:t xml:space="preserve">Aktivitete të tjera u organizuan në bashkëpunim me organizata ndërkombëtare si </w:t>
      </w:r>
      <w:r w:rsidRPr="00221487">
        <w:rPr>
          <w:rFonts w:ascii="Times New Roman" w:eastAsia="Times New Roman" w:hAnsi="Times New Roman" w:cs="Times New Roman"/>
          <w:bCs/>
          <w:noProof/>
          <w:sz w:val="24"/>
          <w:szCs w:val="24"/>
          <w:lang w:val="sq-AL"/>
        </w:rPr>
        <w:t>IOTA, OECD, CEF dhe FISCALIS 2020,</w:t>
      </w:r>
      <w:r w:rsidRPr="00221487">
        <w:rPr>
          <w:rFonts w:ascii="Times New Roman" w:eastAsia="Times New Roman" w:hAnsi="Times New Roman" w:cs="Times New Roman"/>
          <w:noProof/>
          <w:sz w:val="24"/>
          <w:szCs w:val="24"/>
          <w:lang w:val="sq-AL"/>
        </w:rPr>
        <w:t xml:space="preserve"> për të forcuar kapacitetet e administratës tatimore. Gjatë vitit 2018, stafi i DPT-së mori pjesë në 27 seminare dhe 2 vizita pune ku rreth 62 punonjës u trajnuan për çështje tatimore. </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p>
    <w:p w:rsidR="00221487" w:rsidRPr="00221487" w:rsidRDefault="00221487" w:rsidP="00221487">
      <w:pPr>
        <w:spacing w:after="0" w:line="240" w:lineRule="auto"/>
        <w:jc w:val="both"/>
        <w:rPr>
          <w:rFonts w:ascii="Times New Roman" w:eastAsia="Times New Roman" w:hAnsi="Times New Roman" w:cs="Times New Roman"/>
          <w:b/>
          <w:i/>
          <w:noProof/>
          <w:sz w:val="24"/>
          <w:szCs w:val="24"/>
          <w:lang w:val="sq-AL"/>
        </w:rPr>
      </w:pPr>
      <w:r w:rsidRPr="00221487">
        <w:rPr>
          <w:rFonts w:ascii="Times New Roman" w:eastAsia="Times New Roman" w:hAnsi="Times New Roman" w:cs="Times New Roman"/>
          <w:b/>
          <w:noProof/>
          <w:sz w:val="24"/>
          <w:szCs w:val="24"/>
          <w:lang w:val="sq-AL"/>
        </w:rPr>
        <w:t xml:space="preserve">Masa 6: Asistencë ndaj tatimpaguesve të rrisin pajtueshmërinë vullnetare. </w:t>
      </w:r>
      <w:r w:rsidRPr="00221487">
        <w:rPr>
          <w:rFonts w:ascii="Times New Roman" w:eastAsia="Times New Roman" w:hAnsi="Times New Roman" w:cs="Times New Roman"/>
          <w:b/>
          <w:i/>
          <w:noProof/>
          <w:sz w:val="24"/>
          <w:szCs w:val="24"/>
          <w:lang w:val="sq-AL"/>
        </w:rPr>
        <w:t>(e plotësuar)</w:t>
      </w:r>
    </w:p>
    <w:p w:rsidR="00221487" w:rsidRPr="00221487" w:rsidRDefault="00221487" w:rsidP="00221487">
      <w:pPr>
        <w:spacing w:after="0" w:line="240" w:lineRule="auto"/>
        <w:jc w:val="both"/>
        <w:rPr>
          <w:rFonts w:ascii="Times New Roman" w:eastAsia="Times New Roman" w:hAnsi="Times New Roman" w:cs="Times New Roman"/>
          <w:noProof/>
          <w:sz w:val="24"/>
          <w:szCs w:val="24"/>
          <w:highlight w:val="yellow"/>
          <w:lang w:val="sq-AL"/>
        </w:rPr>
      </w:pP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Shumica e nënaktiviteteve u plotësuan gjatë vitit 2017, pasi u ndërmorrën një sërë nismash për të rritur ndërgjegjësimin e tatimpaguesve, ndërsa në vitin 2018 u organizuan dy fushata ndërgjegjësimi: </w:t>
      </w:r>
    </w:p>
    <w:p w:rsidR="00221487" w:rsidRPr="00221487" w:rsidRDefault="00221487" w:rsidP="007C6F79">
      <w:pPr>
        <w:numPr>
          <w:ilvl w:val="0"/>
          <w:numId w:val="14"/>
        </w:numPr>
        <w:spacing w:after="0" w:line="240" w:lineRule="auto"/>
        <w:contextualSpacing/>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Një fushatë ndërgjegjësimi për subjektet e biznesit që janë të përfshira në skemën e TVSh-së dhe</w:t>
      </w:r>
    </w:p>
    <w:p w:rsidR="00221487" w:rsidRPr="00221487" w:rsidRDefault="00221487" w:rsidP="007C6F79">
      <w:pPr>
        <w:numPr>
          <w:ilvl w:val="0"/>
          <w:numId w:val="14"/>
        </w:numPr>
        <w:spacing w:after="0" w:line="240" w:lineRule="auto"/>
        <w:contextualSpacing/>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Një fushatë ndërgjegjësimi për subjektet që operojnë në fushën e turizmit.</w:t>
      </w:r>
    </w:p>
    <w:p w:rsidR="00221487" w:rsidRPr="00221487" w:rsidRDefault="00221487" w:rsidP="00221487">
      <w:pPr>
        <w:spacing w:after="0" w:line="240" w:lineRule="auto"/>
        <w:jc w:val="both"/>
        <w:rPr>
          <w:rFonts w:ascii="Times New Roman" w:eastAsia="Times New Roman" w:hAnsi="Times New Roman" w:cs="Times New Roman"/>
          <w:noProof/>
          <w:sz w:val="24"/>
          <w:szCs w:val="24"/>
          <w:highlight w:val="yellow"/>
          <w:lang w:val="sq-AL"/>
        </w:rPr>
      </w:pPr>
    </w:p>
    <w:p w:rsidR="00221487" w:rsidRPr="00221487" w:rsidRDefault="00221487" w:rsidP="00221487">
      <w:pPr>
        <w:spacing w:after="0" w:line="240" w:lineRule="auto"/>
        <w:jc w:val="both"/>
        <w:rPr>
          <w:rFonts w:ascii="Times New Roman" w:eastAsia="Times New Roman" w:hAnsi="Times New Roman" w:cs="Times New Roman"/>
          <w:b/>
          <w:i/>
          <w:noProof/>
          <w:sz w:val="24"/>
          <w:szCs w:val="24"/>
          <w:lang w:val="sq-AL"/>
        </w:rPr>
      </w:pPr>
      <w:r w:rsidRPr="00221487">
        <w:rPr>
          <w:rFonts w:ascii="Times New Roman" w:eastAsia="Times New Roman" w:hAnsi="Times New Roman" w:cs="Times New Roman"/>
          <w:b/>
          <w:noProof/>
          <w:sz w:val="24"/>
          <w:szCs w:val="24"/>
          <w:lang w:val="sq-AL"/>
        </w:rPr>
        <w:t xml:space="preserve">Masa 7: Përmirësimi i menaxhimit të borxhit. </w:t>
      </w:r>
      <w:r w:rsidRPr="00221487">
        <w:rPr>
          <w:rFonts w:ascii="Times New Roman" w:eastAsia="Times New Roman" w:hAnsi="Times New Roman" w:cs="Times New Roman"/>
          <w:b/>
          <w:i/>
          <w:noProof/>
          <w:sz w:val="24"/>
          <w:szCs w:val="24"/>
          <w:lang w:val="sq-AL"/>
        </w:rPr>
        <w:t>(në proces/ sipas planit)</w:t>
      </w:r>
    </w:p>
    <w:p w:rsidR="00221487" w:rsidRPr="00221487" w:rsidRDefault="00221487" w:rsidP="00221487">
      <w:pPr>
        <w:spacing w:after="0" w:line="240" w:lineRule="auto"/>
        <w:jc w:val="both"/>
        <w:rPr>
          <w:rFonts w:ascii="Times New Roman" w:eastAsia="Times New Roman" w:hAnsi="Times New Roman" w:cs="Times New Roman"/>
          <w:b/>
          <w:i/>
          <w:noProof/>
          <w:sz w:val="24"/>
          <w:szCs w:val="24"/>
          <w:highlight w:val="yellow"/>
          <w:lang w:val="sq-AL"/>
        </w:rPr>
      </w:pP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Për të rishikuar procesin e menaxhimit të borxhit, nga ana e drejtorisë duhet të bëhet një delegim i duhur i detyrave për të reduktuar borxhet. Për këtë arsye, Drejtoria për Mbledhjen e Borxhit ka kërkuar ndryshime ligjore për të përmirësuar proceset e punës. Disa prej propozimeve janë marrë në konsideratë dhe kanë hyrë në fuqi me paketën e re fiskale më 01.01.2019.</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Për më tepër, janë kërkuar ndryshime ligjore të nenit 77 të ligjit nr. 9920 për Marrëveshjen e Pagesave me këste për detyrimet e prapambetura të borxhit (detyrimet e pashlyera tatimore), për të përfshirë vetë-deklarimet dhe mundësinë për të nënshkruar këtë marrëveshje për çdo lloj takse. Drejtoria ka krijuar një regjistër tashmë për bllokimin e subjekteve nga dogana. DVT-ja raporton periodikisht mbi instrumentet që lidhen me procedurat e mbledhjes së detyrimeve. Është krijuar një regjistër që shërben për përditësimin të bazës së të dhënave të hipotekave në faqen e internetit të DPTH-së ku gjendet një listë e tatimpaguesve që kanë borxhe dhe kredi hipotekore të pashlyera. Raportet e borxhit, me kalimin e kohës janë rishikuar dhe kërkohen ndryshime nga sistemi për pasaktësitë e identifikuara. </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Gjatë vitit 2017 dhe 2018, bazuar në rekomandimet e FMN-së, u zbatua një Plan Veprimi dyvjeçar për Menaxhimin e Borxhit.</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Në vitin 2018 pati përmirësim të treguesve të borxhit tatimor. Faktori kryesor nxitës për performancën pozitive të menaxhimit të borxhit ishin përfshirja dhe orientimi më i mirë i administratës tatimore në identifikimin e saktë, strategjia për mbledhjen e detyrimeve të mbetura të borxhit dhe aplikimi i Marrëveshjes së Pagesës me Këste. Gjatë vitit 2018, administrata tatimore është përpjekur të mbajë nën kontroll detyrimet tatimore shtesë, të cilat kapin vlerën e 33.2 miliard lek ose 33% më pak se në vitin 2017. </w:t>
      </w:r>
      <w:r w:rsidRPr="00F77001">
        <w:rPr>
          <w:rFonts w:ascii="Times New Roman" w:eastAsia="Times" w:hAnsi="Times New Roman" w:cs="Times New Roman"/>
          <w:noProof/>
          <w:sz w:val="24"/>
          <w:szCs w:val="24"/>
          <w:lang w:val="sq-AL"/>
        </w:rPr>
        <w:t xml:space="preserve">Është mbledhur shuma prej  18.4 miliard lek detyrime tatimore dhe detyrime të papaguara dhe gjoba rreth 2.3 miliard Lek. Për periudhën deri më 31 dhjetor 2018, shuma totale e borxhit prej 107.7 </w:t>
      </w:r>
      <w:r w:rsidRPr="00F77001">
        <w:rPr>
          <w:rFonts w:ascii="Times New Roman" w:eastAsia="Times" w:hAnsi="Times New Roman" w:cs="Times New Roman"/>
          <w:noProof/>
          <w:sz w:val="24"/>
          <w:szCs w:val="24"/>
          <w:lang w:val="sq-AL"/>
        </w:rPr>
        <w:lastRenderedPageBreak/>
        <w:t xml:space="preserve">miliard Lek, përfshin vlerën prej 13.9 miliard Lek. Kjo shumë është </w:t>
      </w:r>
      <w:r w:rsidR="00F77001" w:rsidRPr="00F77001">
        <w:rPr>
          <w:rFonts w:ascii="Times New Roman" w:eastAsia="Times" w:hAnsi="Times New Roman" w:cs="Times New Roman"/>
          <w:noProof/>
          <w:sz w:val="24"/>
          <w:szCs w:val="24"/>
          <w:lang w:val="sq-AL"/>
        </w:rPr>
        <w:t xml:space="preserve">duke u shqyrtuar </w:t>
      </w:r>
      <w:r w:rsidRPr="00F77001">
        <w:rPr>
          <w:rFonts w:ascii="Times New Roman" w:eastAsia="Times" w:hAnsi="Times New Roman" w:cs="Times New Roman"/>
          <w:noProof/>
          <w:sz w:val="24"/>
          <w:szCs w:val="24"/>
          <w:lang w:val="sq-AL"/>
        </w:rPr>
        <w:t>në proces gjyqësor dhe zë 13% të stokut të borxhit. Për vitin 2018, janë nënshkruar 1,200 marrëveshje për pagesa me këste.</w:t>
      </w:r>
    </w:p>
    <w:p w:rsidR="00221487" w:rsidRPr="00221487" w:rsidRDefault="00221487" w:rsidP="00221487">
      <w:pPr>
        <w:spacing w:after="0" w:line="240" w:lineRule="auto"/>
        <w:rPr>
          <w:rFonts w:ascii="Times New Roman" w:eastAsia="Times New Roman" w:hAnsi="Times New Roman" w:cs="Times New Roman"/>
          <w:noProof/>
          <w:sz w:val="24"/>
          <w:szCs w:val="24"/>
          <w:lang w:val="sq-AL"/>
        </w:rPr>
      </w:pPr>
    </w:p>
    <w:p w:rsidR="00221487" w:rsidRPr="00221487" w:rsidRDefault="00221487" w:rsidP="00221487">
      <w:pPr>
        <w:keepNext/>
        <w:numPr>
          <w:ilvl w:val="2"/>
          <w:numId w:val="0"/>
        </w:numPr>
        <w:spacing w:after="0" w:line="240" w:lineRule="auto"/>
        <w:ind w:left="720" w:hanging="11"/>
        <w:outlineLvl w:val="2"/>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Menaxhimi doganor</w:t>
      </w:r>
    </w:p>
    <w:p w:rsidR="00221487" w:rsidRPr="00221487" w:rsidRDefault="00221487" w:rsidP="00221487">
      <w:pPr>
        <w:spacing w:after="0" w:line="240" w:lineRule="auto"/>
        <w:jc w:val="both"/>
        <w:rPr>
          <w:rFonts w:ascii="Times New Roman" w:eastAsia="Times New Roman" w:hAnsi="Times New Roman" w:cs="Times New Roman"/>
          <w:noProof/>
          <w:sz w:val="24"/>
          <w:szCs w:val="24"/>
          <w:highlight w:val="lightGray"/>
          <w:lang w:val="sq-AL"/>
        </w:rPr>
      </w:pPr>
    </w:p>
    <w:tbl>
      <w:tblPr>
        <w:tblW w:w="0" w:type="auto"/>
        <w:tblInd w:w="108"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ook w:val="04A0" w:firstRow="1" w:lastRow="0" w:firstColumn="1" w:lastColumn="0" w:noHBand="0" w:noVBand="1"/>
      </w:tblPr>
      <w:tblGrid>
        <w:gridCol w:w="1890"/>
        <w:gridCol w:w="1512"/>
        <w:gridCol w:w="5935"/>
      </w:tblGrid>
      <w:tr w:rsidR="00221487" w:rsidRPr="005B32A4" w:rsidTr="004342D7">
        <w:trPr>
          <w:trHeight w:val="2146"/>
        </w:trPr>
        <w:tc>
          <w:tcPr>
            <w:tcW w:w="9337" w:type="dxa"/>
            <w:gridSpan w:val="3"/>
            <w:tcBorders>
              <w:top w:val="single" w:sz="4" w:space="0" w:color="auto"/>
              <w:left w:val="single" w:sz="4" w:space="0" w:color="auto"/>
              <w:bottom w:val="nil"/>
              <w:right w:val="single" w:sz="4" w:space="0" w:color="auto"/>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t xml:space="preserve">Objektivi </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Menaxhim efektiv, efikas, i drejtë dhe transparent i të ardhurave. </w:t>
            </w:r>
          </w:p>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t>Treguesi i rezultatit *</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Devijimi në përqindje  i mbledhjes faktike është brenda % të përcaktuar në parashikimet e aprovuara buxhetore për të ardhurat. </w:t>
            </w:r>
          </w:p>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t>Vlera e treguesit</w:t>
            </w:r>
          </w:p>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noProof/>
                <w:sz w:val="24"/>
                <w:szCs w:val="24"/>
                <w:lang w:val="sq-AL"/>
              </w:rPr>
              <w:t>Treguesi për vitin 2018 nuk u përmbush, pasi pësoi një rënie lehtë krahasuar me vitin</w:t>
            </w:r>
            <w:r w:rsidRPr="00221487">
              <w:rPr>
                <w:rFonts w:ascii="Times New Roman" w:eastAsia="Times" w:hAnsi="Times New Roman" w:cs="Times New Roman"/>
                <w:b/>
                <w:noProof/>
                <w:sz w:val="24"/>
                <w:szCs w:val="24"/>
                <w:lang w:val="sq-AL"/>
              </w:rPr>
              <w:t xml:space="preserve"> </w:t>
            </w:r>
            <w:r w:rsidRPr="00221487">
              <w:rPr>
                <w:rFonts w:ascii="Times New Roman" w:eastAsia="Times" w:hAnsi="Times New Roman" w:cs="Times New Roman"/>
                <w:noProof/>
                <w:sz w:val="24"/>
                <w:szCs w:val="24"/>
                <w:lang w:val="sq-AL"/>
              </w:rPr>
              <w:t xml:space="preserve">2017, pasi </w:t>
            </w:r>
            <w:r w:rsidR="008F76C6">
              <w:rPr>
                <w:rFonts w:ascii="Times New Roman" w:eastAsia="Times" w:hAnsi="Times New Roman" w:cs="Times New Roman"/>
                <w:noProof/>
                <w:sz w:val="24"/>
                <w:szCs w:val="24"/>
                <w:lang w:val="sq-AL"/>
              </w:rPr>
              <w:t xml:space="preserve">ka pasur devijim në </w:t>
            </w:r>
            <w:r w:rsidRPr="00221487">
              <w:rPr>
                <w:rFonts w:ascii="Times New Roman" w:eastAsia="Times" w:hAnsi="Times New Roman" w:cs="Times New Roman"/>
                <w:noProof/>
                <w:sz w:val="24"/>
                <w:szCs w:val="24"/>
                <w:lang w:val="sq-AL"/>
              </w:rPr>
              <w:t>diferenc</w:t>
            </w:r>
            <w:r w:rsidR="008F76C6">
              <w:rPr>
                <w:rFonts w:ascii="Times New Roman" w:eastAsia="Times" w:hAnsi="Times New Roman" w:cs="Times New Roman"/>
                <w:noProof/>
                <w:sz w:val="24"/>
                <w:szCs w:val="24"/>
                <w:lang w:val="sq-AL"/>
              </w:rPr>
              <w:t>ën</w:t>
            </w:r>
            <w:r w:rsidRPr="00221487">
              <w:rPr>
                <w:rFonts w:ascii="Times New Roman" w:eastAsia="Times" w:hAnsi="Times New Roman" w:cs="Times New Roman"/>
                <w:noProof/>
                <w:sz w:val="24"/>
                <w:szCs w:val="24"/>
                <w:lang w:val="sq-AL"/>
              </w:rPr>
              <w:t xml:space="preserve"> mes mbledhjes faktike të të ardhurave kundrejt të ardhurave të </w:t>
            </w:r>
            <w:r w:rsidRPr="008F76C6">
              <w:rPr>
                <w:rFonts w:ascii="Times New Roman" w:eastAsia="Times" w:hAnsi="Times New Roman" w:cs="Times New Roman"/>
                <w:noProof/>
                <w:sz w:val="24"/>
                <w:szCs w:val="24"/>
                <w:lang w:val="sq-AL"/>
              </w:rPr>
              <w:t>planifikuara.</w:t>
            </w:r>
            <w:r w:rsidRPr="00221487">
              <w:rPr>
                <w:rFonts w:ascii="Times New Roman" w:eastAsia="Times" w:hAnsi="Times New Roman" w:cs="Times New Roman"/>
                <w:noProof/>
                <w:sz w:val="24"/>
                <w:szCs w:val="24"/>
                <w:lang w:val="sq-AL"/>
              </w:rPr>
              <w:t xml:space="preserve"> </w:t>
            </w:r>
          </w:p>
        </w:tc>
      </w:tr>
      <w:tr w:rsidR="00221487" w:rsidRPr="00221487" w:rsidTr="004342D7">
        <w:trPr>
          <w:trHeight w:val="261"/>
        </w:trPr>
        <w:tc>
          <w:tcPr>
            <w:tcW w:w="1890" w:type="dxa"/>
            <w:tcBorders>
              <w:top w:val="nil"/>
              <w:left w:val="single" w:sz="4" w:space="0" w:color="auto"/>
              <w:bottom w:val="nil"/>
              <w:right w:val="nil"/>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Vlera bazë (2015)</w:t>
            </w:r>
          </w:p>
        </w:tc>
        <w:tc>
          <w:tcPr>
            <w:tcW w:w="1512" w:type="dxa"/>
            <w:tcBorders>
              <w:top w:val="nil"/>
              <w:left w:val="nil"/>
              <w:bottom w:val="nil"/>
              <w:right w:val="nil"/>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      2018     </w:t>
            </w:r>
          </w:p>
        </w:tc>
        <w:tc>
          <w:tcPr>
            <w:tcW w:w="5935" w:type="dxa"/>
            <w:tcBorders>
              <w:top w:val="nil"/>
              <w:left w:val="nil"/>
              <w:bottom w:val="nil"/>
              <w:right w:val="single" w:sz="4" w:space="0" w:color="auto"/>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Synimi 2020 </w:t>
            </w:r>
          </w:p>
        </w:tc>
      </w:tr>
      <w:tr w:rsidR="00221487" w:rsidRPr="00221487" w:rsidTr="004342D7">
        <w:trPr>
          <w:trHeight w:val="198"/>
        </w:trPr>
        <w:tc>
          <w:tcPr>
            <w:tcW w:w="1890" w:type="dxa"/>
            <w:tcBorders>
              <w:top w:val="nil"/>
              <w:left w:val="single" w:sz="4" w:space="0" w:color="auto"/>
              <w:bottom w:val="nil"/>
              <w:right w:val="nil"/>
            </w:tcBorders>
            <w:shd w:val="clear" w:color="auto" w:fill="D9D9D9" w:themeFill="background1" w:themeFillShade="D9"/>
            <w:vAlign w:val="center"/>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-10.2%</w:t>
            </w:r>
          </w:p>
        </w:tc>
        <w:tc>
          <w:tcPr>
            <w:tcW w:w="1512" w:type="dxa"/>
            <w:tcBorders>
              <w:top w:val="nil"/>
              <w:left w:val="nil"/>
              <w:bottom w:val="nil"/>
              <w:right w:val="nil"/>
            </w:tcBorders>
            <w:shd w:val="clear" w:color="auto" w:fill="D9D9D9" w:themeFill="background1" w:themeFillShade="D9"/>
            <w:vAlign w:val="center"/>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     -3,8%</w:t>
            </w:r>
          </w:p>
        </w:tc>
        <w:tc>
          <w:tcPr>
            <w:tcW w:w="5935" w:type="dxa"/>
            <w:tcBorders>
              <w:top w:val="nil"/>
              <w:left w:val="nil"/>
              <w:bottom w:val="nil"/>
              <w:right w:val="single" w:sz="4" w:space="0" w:color="auto"/>
            </w:tcBorders>
            <w:shd w:val="clear" w:color="auto" w:fill="D9D9D9" w:themeFill="background1" w:themeFillShade="D9"/>
            <w:vAlign w:val="center"/>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+/-2%</w:t>
            </w:r>
          </w:p>
        </w:tc>
      </w:tr>
      <w:tr w:rsidR="00221487" w:rsidRPr="00221487" w:rsidTr="004342D7">
        <w:trPr>
          <w:trHeight w:val="198"/>
        </w:trPr>
        <w:tc>
          <w:tcPr>
            <w:tcW w:w="9337" w:type="dxa"/>
            <w:gridSpan w:val="3"/>
            <w:tcBorders>
              <w:top w:val="nil"/>
              <w:left w:val="single" w:sz="4" w:space="0" w:color="auto"/>
              <w:bottom w:val="single" w:sz="4" w:space="0" w:color="auto"/>
              <w:right w:val="single" w:sz="4" w:space="0" w:color="auto"/>
            </w:tcBorders>
            <w:shd w:val="clear" w:color="auto" w:fill="D9D9D9" w:themeFill="background1" w:themeFillShade="D9"/>
            <w:vAlign w:val="center"/>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p>
        </w:tc>
      </w:tr>
    </w:tbl>
    <w:p w:rsidR="00221487" w:rsidRPr="00221487" w:rsidRDefault="00221487" w:rsidP="00221487">
      <w:pPr>
        <w:spacing w:after="0" w:line="240" w:lineRule="auto"/>
        <w:ind w:firstLine="720"/>
        <w:jc w:val="both"/>
        <w:rPr>
          <w:rFonts w:ascii="Times New Roman" w:eastAsia="Times" w:hAnsi="Times New Roman" w:cs="Times New Roman"/>
          <w:noProof/>
          <w:sz w:val="24"/>
          <w:szCs w:val="24"/>
          <w:highlight w:val="lightGray"/>
          <w:lang w:val="sq-AL"/>
        </w:rPr>
      </w:pP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p>
    <w:p w:rsidR="00221487" w:rsidRPr="00221487" w:rsidRDefault="00221487" w:rsidP="00221487">
      <w:pPr>
        <w:spacing w:after="0" w:line="240" w:lineRule="auto"/>
        <w:jc w:val="both"/>
        <w:rPr>
          <w:rFonts w:ascii="Times New Roman" w:eastAsia="Times New Roman" w:hAnsi="Times New Roman" w:cs="Times New Roman"/>
          <w:b/>
          <w:i/>
          <w:noProof/>
          <w:sz w:val="24"/>
          <w:szCs w:val="24"/>
          <w:lang w:val="sq-AL"/>
        </w:rPr>
      </w:pPr>
      <w:r w:rsidRPr="00221487">
        <w:rPr>
          <w:rFonts w:ascii="Times New Roman" w:eastAsia="Times New Roman" w:hAnsi="Times New Roman" w:cs="Times New Roman"/>
          <w:b/>
          <w:noProof/>
          <w:sz w:val="24"/>
          <w:szCs w:val="24"/>
          <w:lang w:val="sq-AL"/>
        </w:rPr>
        <w:t xml:space="preserve">Masa 1: Rritja e efikasitetit të ofrimit të shërbimeve në pikat e kontrollit të kalimit kufitar </w:t>
      </w:r>
      <w:r w:rsidRPr="00221487">
        <w:rPr>
          <w:rFonts w:ascii="Times New Roman" w:eastAsia="Times New Roman" w:hAnsi="Times New Roman" w:cs="Times New Roman"/>
          <w:b/>
          <w:i/>
          <w:noProof/>
          <w:sz w:val="24"/>
          <w:szCs w:val="24"/>
          <w:lang w:val="sq-AL"/>
        </w:rPr>
        <w:t xml:space="preserve">(në proces/ me vonesë) </w:t>
      </w:r>
    </w:p>
    <w:p w:rsidR="00221487" w:rsidRPr="00221487" w:rsidRDefault="00221487" w:rsidP="00221487">
      <w:pPr>
        <w:spacing w:after="0" w:line="240" w:lineRule="auto"/>
        <w:jc w:val="both"/>
        <w:rPr>
          <w:rFonts w:ascii="Times New Roman" w:eastAsia="Times New Roman" w:hAnsi="Times New Roman" w:cs="Times New Roman"/>
          <w:b/>
          <w:i/>
          <w:noProof/>
          <w:sz w:val="24"/>
          <w:szCs w:val="24"/>
          <w:lang w:val="sq-AL"/>
        </w:rPr>
      </w:pPr>
      <w:r w:rsidRPr="00221487">
        <w:rPr>
          <w:rFonts w:ascii="Times New Roman" w:eastAsia="Times New Roman" w:hAnsi="Times New Roman" w:cs="Times New Roman"/>
          <w:noProof/>
          <w:color w:val="000000"/>
          <w:sz w:val="24"/>
          <w:szCs w:val="24"/>
          <w:lang w:val="sq-AL"/>
        </w:rPr>
        <w:t>Puna për të praktikuar njoftimet elektronike paraprake (manifestet) e cila mundëson që doganat të ekzaminojnë kërcënime, të identifikojnë kontenierë ose ngarkesa që janë me rrezik të lartë përpara mbërritjes dhe të merren në mënyrë proaktive me shkelje të mundshme, ka vijuar përgjatë vitit 2018. Manifestet detare, manifestet e ngarkesave ajrore dhe të postës së shpejtë po vijnë në mënyrë elektronike. Së shpejti do të aktivizohen manifestet për tragetet. Kërkohet zhvillimi i modulit të para-mbërritjes (Sipas planit të Ministrisë së Financave dhe Ekonomisë deri në vitin 2021). Falë projektit SEED, vijnë informacione para mbërritjes nga Mali i Zi, Maqedonia dhe Kosova.</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Rritja e investimeve në Pikat e Kalimit Kufitar ka ndihmuar për përmirësimin e shërbimit ndaj qytetarëve dhe bizneseve. Në muajin korrik 2018 u inagurua Pika e Kalimit Kufitar të Morinës midis Shqipërisë dhe Kosovës. Ndryshimet sollën lehtësira në transportit e mallrave dhe të automjeteve pasi do të përpunohen në një pikë të vetme të përbashkët. Kjo pikë e re kalimi ka 12 kabina kontrolli dhe një </w:t>
      </w:r>
      <w:r w:rsidRPr="00221487">
        <w:rPr>
          <w:rFonts w:ascii="Times New Roman" w:eastAsia="Times New Roman" w:hAnsi="Times New Roman" w:cs="Times New Roman"/>
          <w:i/>
          <w:noProof/>
          <w:sz w:val="24"/>
          <w:szCs w:val="24"/>
          <w:lang w:val="sq-AL"/>
        </w:rPr>
        <w:t xml:space="preserve">bypass </w:t>
      </w:r>
      <w:r w:rsidRPr="00221487">
        <w:rPr>
          <w:rFonts w:ascii="Times New Roman" w:eastAsia="Times New Roman" w:hAnsi="Times New Roman" w:cs="Times New Roman"/>
          <w:noProof/>
          <w:sz w:val="24"/>
          <w:szCs w:val="24"/>
          <w:lang w:val="sq-AL"/>
        </w:rPr>
        <w:t xml:space="preserve">për kamionët si dhe ambientet e përshtatshme për kontrollin në vijën e dytë për automjetet e rënda. Investime janë bërë edhe në Hanin e Hotit nëpërmjet një projekti të BE-së. Ky investim ofron hapësirë të mjaftueshme për parkimin e kamionëve si në hyrje dhe në dalje si dhe shkurton kohën e përpunimit të kamionëve me mallra dhe lehtëson në mënyrë të konsiderueshme procedurat doganore. </w:t>
      </w:r>
    </w:p>
    <w:p w:rsidR="00221487" w:rsidRPr="00221487" w:rsidRDefault="00221487" w:rsidP="00221487">
      <w:pPr>
        <w:spacing w:after="0" w:line="240" w:lineRule="auto"/>
        <w:jc w:val="both"/>
        <w:rPr>
          <w:rFonts w:ascii="Times New Roman" w:eastAsia="Times New Roman" w:hAnsi="Times New Roman" w:cs="Times New Roman"/>
          <w:b/>
          <w:noProof/>
          <w:sz w:val="24"/>
          <w:szCs w:val="24"/>
          <w:lang w:val="sq-AL"/>
        </w:rPr>
      </w:pPr>
    </w:p>
    <w:p w:rsidR="00221487" w:rsidRPr="00221487" w:rsidRDefault="00221487" w:rsidP="00221487">
      <w:pPr>
        <w:spacing w:after="0" w:line="240" w:lineRule="auto"/>
        <w:jc w:val="both"/>
        <w:rPr>
          <w:rFonts w:ascii="Times New Roman" w:eastAsia="Times New Roman" w:hAnsi="Times New Roman" w:cs="Times New Roman"/>
          <w:b/>
          <w:noProof/>
          <w:sz w:val="24"/>
          <w:szCs w:val="24"/>
          <w:lang w:val="sq-AL"/>
        </w:rPr>
      </w:pPr>
      <w:r w:rsidRPr="00221487">
        <w:rPr>
          <w:rFonts w:ascii="Times New Roman" w:eastAsia="Times New Roman" w:hAnsi="Times New Roman" w:cs="Times New Roman"/>
          <w:b/>
          <w:noProof/>
          <w:sz w:val="24"/>
          <w:szCs w:val="24"/>
          <w:lang w:val="sq-AL"/>
        </w:rPr>
        <w:t>Masa 2: Prezantimi i procedurave doganore elekontrike për të thjeshtuar pajtueshmërinë si dhe dispozita për të prezantuar procedurat doganore për Operatorët e Autorizuar Ekonomikë (OAE), përfshirë eleminimin e centralizuar (</w:t>
      </w:r>
      <w:r w:rsidRPr="00221487">
        <w:rPr>
          <w:rFonts w:ascii="Times New Roman" w:eastAsia="Times New Roman" w:hAnsi="Times New Roman" w:cs="Times New Roman"/>
          <w:b/>
          <w:i/>
          <w:noProof/>
          <w:sz w:val="24"/>
          <w:szCs w:val="24"/>
          <w:lang w:val="sq-AL"/>
        </w:rPr>
        <w:t>në proces/ me vonesë</w:t>
      </w:r>
      <w:r w:rsidRPr="00221487">
        <w:rPr>
          <w:rFonts w:ascii="Times New Roman" w:eastAsia="Times New Roman" w:hAnsi="Times New Roman" w:cs="Times New Roman"/>
          <w:b/>
          <w:noProof/>
          <w:sz w:val="24"/>
          <w:szCs w:val="24"/>
          <w:lang w:val="sq-AL"/>
        </w:rPr>
        <w:t xml:space="preserve">) </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eastAsia="en-GB"/>
        </w:rPr>
      </w:pPr>
      <w:r w:rsidRPr="00221487">
        <w:rPr>
          <w:rFonts w:ascii="Times New Roman" w:eastAsia="Times New Roman" w:hAnsi="Times New Roman" w:cs="Times New Roman"/>
          <w:noProof/>
          <w:sz w:val="24"/>
          <w:szCs w:val="24"/>
          <w:lang w:val="sq-AL"/>
        </w:rPr>
        <w:t xml:space="preserve">Shqipëria ende nuk ka asnjë Operatorë të Autorizuar Ekonomikë, megjithatë janë në shqyrtim dy kërkesa për OAE. </w:t>
      </w:r>
    </w:p>
    <w:p w:rsidR="00221487" w:rsidRPr="00221487" w:rsidRDefault="00221487" w:rsidP="00221487">
      <w:pPr>
        <w:spacing w:after="0" w:line="240" w:lineRule="auto"/>
        <w:jc w:val="both"/>
        <w:rPr>
          <w:rFonts w:ascii="Times New Roman" w:eastAsia="Times New Roman" w:hAnsi="Times New Roman" w:cs="Times New Roman"/>
          <w:b/>
          <w:noProof/>
          <w:sz w:val="24"/>
          <w:szCs w:val="24"/>
          <w:lang w:val="sq-AL"/>
        </w:rPr>
      </w:pPr>
    </w:p>
    <w:p w:rsidR="00221487" w:rsidRPr="00221487" w:rsidRDefault="00221487" w:rsidP="00221487">
      <w:pPr>
        <w:spacing w:after="0" w:line="240" w:lineRule="auto"/>
        <w:jc w:val="both"/>
        <w:rPr>
          <w:rFonts w:ascii="Times New Roman" w:eastAsia="Times New Roman" w:hAnsi="Times New Roman" w:cs="Times New Roman"/>
          <w:b/>
          <w:i/>
          <w:noProof/>
          <w:sz w:val="24"/>
          <w:szCs w:val="24"/>
          <w:lang w:val="sq-AL"/>
        </w:rPr>
      </w:pPr>
      <w:r w:rsidRPr="00221487">
        <w:rPr>
          <w:rFonts w:ascii="Times New Roman" w:eastAsia="Times New Roman" w:hAnsi="Times New Roman" w:cs="Times New Roman"/>
          <w:b/>
          <w:noProof/>
          <w:sz w:val="24"/>
          <w:szCs w:val="24"/>
          <w:lang w:val="sq-AL"/>
        </w:rPr>
        <w:t xml:space="preserve">Masa 3: Zgjerimi i mundësive për ankimimin e vendimeve të autoriteteve doganore me qëllim promovimin trajtimit të drejtë dhe të transparencës </w:t>
      </w:r>
      <w:r w:rsidRPr="00221487">
        <w:rPr>
          <w:rFonts w:ascii="Times New Roman" w:eastAsia="Times New Roman" w:hAnsi="Times New Roman" w:cs="Times New Roman"/>
          <w:b/>
          <w:i/>
          <w:noProof/>
          <w:sz w:val="24"/>
          <w:szCs w:val="24"/>
          <w:lang w:val="sq-AL"/>
        </w:rPr>
        <w:t>(e plotësuar)</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lastRenderedPageBreak/>
        <w:t xml:space="preserve">DPD-ja ka ndryshuar mënyrën e vlerësimit të deklaratave doganore. Vlerësimi i deklaratëve doganore kryhet nëpërmjet një sistemi qendror. Ky sistem, i cili u aplikua në vitin 2018 ka ndikuar në shkëputjen e lidhjeve mes oficerëve të vlerësimit me subjektet për të shmangur kështu njohjet, shmangien e vlerësimeve të njëanshme të praktikave dhe ka ndikuar në unifikimin e rivlerësimit, në rastet kur refuzohet një transaksion. </w:t>
      </w:r>
      <w:r w:rsidRPr="008F76C6">
        <w:rPr>
          <w:rFonts w:ascii="Times New Roman" w:eastAsia="Times New Roman" w:hAnsi="Times New Roman" w:cs="Times New Roman"/>
          <w:noProof/>
          <w:sz w:val="24"/>
          <w:szCs w:val="24"/>
          <w:lang w:val="sq-AL"/>
        </w:rPr>
        <w:t>Gjithashtu, një element tjetër shumë i rëndësishëm që është futur, është ndarja e vlerësimit dhe performancës vetëm pas kontrollit doganor, duke</w:t>
      </w:r>
      <w:r w:rsidRPr="00221487">
        <w:rPr>
          <w:rFonts w:ascii="Times New Roman" w:eastAsia="Times New Roman" w:hAnsi="Times New Roman" w:cs="Times New Roman"/>
          <w:noProof/>
          <w:sz w:val="24"/>
          <w:szCs w:val="24"/>
          <w:lang w:val="sq-AL"/>
        </w:rPr>
        <w:t xml:space="preserve"> krijuar kështu një ndarje të qartë përgjegjësish në lidhje me deklarimet doganore. Kjo qasje e re u ndoq nga rimarrja në konsideratë e të gjitha procedurave të vlerësimit, ku një rol të rëndësishëm luan procedura që ndjek oficeri i vlerësimit doganor, i cili është tërë kohën i gjurmueshëm, një element shumë i rëndësishëm ky për administratën doganore. </w:t>
      </w:r>
    </w:p>
    <w:p w:rsidR="00221487" w:rsidRPr="00221487" w:rsidRDefault="00221487" w:rsidP="00221487">
      <w:pPr>
        <w:tabs>
          <w:tab w:val="left" w:pos="2041"/>
        </w:tabs>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Megjithëse portali “Stop Corruption” nuk është më funksional, qytetarët mund të dorëzojnë ankesat e tyre ndaj autoriteteve doganore tek  “Platforma e Vetë-qeverisjes”.</w:t>
      </w:r>
    </w:p>
    <w:p w:rsidR="00221487" w:rsidRPr="00221487" w:rsidRDefault="00221487" w:rsidP="00221487">
      <w:pPr>
        <w:spacing w:after="0" w:line="240" w:lineRule="auto"/>
        <w:jc w:val="both"/>
        <w:rPr>
          <w:rFonts w:ascii="Times New Roman" w:eastAsia="Times New Roman" w:hAnsi="Times New Roman" w:cs="Times New Roman"/>
          <w:b/>
          <w:noProof/>
          <w:sz w:val="24"/>
          <w:szCs w:val="24"/>
          <w:lang w:val="sq-AL"/>
        </w:rPr>
      </w:pPr>
    </w:p>
    <w:p w:rsidR="00221487" w:rsidRPr="00221487" w:rsidRDefault="00221487" w:rsidP="00221487">
      <w:pPr>
        <w:spacing w:after="0" w:line="240" w:lineRule="auto"/>
        <w:jc w:val="both"/>
        <w:rPr>
          <w:rFonts w:ascii="Times New Roman" w:eastAsia="Times New Roman" w:hAnsi="Times New Roman" w:cs="Times New Roman"/>
          <w:b/>
          <w:noProof/>
          <w:sz w:val="24"/>
          <w:szCs w:val="24"/>
          <w:lang w:val="sq-AL"/>
        </w:rPr>
      </w:pPr>
      <w:r w:rsidRPr="00221487">
        <w:rPr>
          <w:rFonts w:ascii="Times New Roman" w:eastAsia="Times New Roman" w:hAnsi="Times New Roman" w:cs="Times New Roman"/>
          <w:b/>
          <w:noProof/>
          <w:sz w:val="24"/>
          <w:szCs w:val="24"/>
          <w:lang w:val="sq-AL"/>
        </w:rPr>
        <w:t>Masa 4: Përcaktimi i rregullave për përdorimin e një garancie të vetme që mbulon një numër të madh</w:t>
      </w:r>
    </w:p>
    <w:p w:rsidR="00221487" w:rsidRPr="00221487" w:rsidRDefault="00221487" w:rsidP="00221487">
      <w:pPr>
        <w:spacing w:after="0" w:line="240" w:lineRule="auto"/>
        <w:jc w:val="both"/>
        <w:rPr>
          <w:rFonts w:ascii="Times New Roman" w:eastAsia="Times New Roman" w:hAnsi="Times New Roman" w:cs="Times New Roman"/>
          <w:b/>
          <w:i/>
          <w:noProof/>
          <w:sz w:val="24"/>
          <w:szCs w:val="24"/>
          <w:lang w:val="sq-AL"/>
        </w:rPr>
      </w:pPr>
      <w:r w:rsidRPr="00221487">
        <w:rPr>
          <w:rFonts w:ascii="Times New Roman" w:eastAsia="Times New Roman" w:hAnsi="Times New Roman" w:cs="Times New Roman"/>
          <w:b/>
          <w:noProof/>
          <w:sz w:val="24"/>
          <w:szCs w:val="24"/>
          <w:lang w:val="sq-AL"/>
        </w:rPr>
        <w:t>transaksionesh</w:t>
      </w:r>
      <w:r w:rsidRPr="00221487">
        <w:rPr>
          <w:rFonts w:ascii="Times New Roman" w:eastAsia="Times New Roman" w:hAnsi="Times New Roman" w:cs="Times New Roman"/>
          <w:b/>
          <w:i/>
          <w:noProof/>
          <w:sz w:val="24"/>
          <w:szCs w:val="24"/>
          <w:lang w:val="sq-AL"/>
        </w:rPr>
        <w:t xml:space="preserve"> (në proces/ me vonesë)</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DPD-ja ka parashikuar garancitë si më poshtë: </w:t>
      </w:r>
    </w:p>
    <w:p w:rsidR="00221487" w:rsidRPr="00221487" w:rsidRDefault="00221487" w:rsidP="00221487">
      <w:pPr>
        <w:numPr>
          <w:ilvl w:val="0"/>
          <w:numId w:val="8"/>
        </w:numPr>
        <w:spacing w:after="0" w:line="240" w:lineRule="auto"/>
        <w:contextualSpacing/>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Ligji nr. 102/2014, datë 31.07.2014 "Kodi Doganor i Republikës së Shqipërisë” i ndryshuar, nenet e ndryshuara 84-94; </w:t>
      </w:r>
    </w:p>
    <w:p w:rsidR="00221487" w:rsidRPr="00221487" w:rsidRDefault="00221487" w:rsidP="00221487">
      <w:pPr>
        <w:numPr>
          <w:ilvl w:val="0"/>
          <w:numId w:val="8"/>
        </w:numPr>
        <w:spacing w:after="0" w:line="240" w:lineRule="auto"/>
        <w:contextualSpacing/>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Vendimi Nr. 651, datë 10.11.2017 "Për zbatimin e dispozitave të ligjit nr. 102/2014, "Kodi Doganor i Republikës së Shqipërisë" nenet 179-201. </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Në lidhje me zbatimin praktik të garancisë, dhe deri në datën e zbatimit të sistemit, autoritetet doganore mund të lejojnë përdorimin e instrumentëve të tjerë, veç përpunimit teknik të të dhënave elektronike, për aplikimet dhe vendimet që përdoren për shkëmbimin dhe ruajtjen e informacionit për garancitë. Në sistemin Asycuda operohet më garanci të ndara për regjimet e veçanta. Aktualisht, garancia globale,  në kuptimin që i është dhënë në Kodin Doganor, nuk mund të përdoret pasi ka nevojë të zhvillohet sistemi. Shuma maksimale e garancisë regjistrohet manualisht në sistem si dhe bilanci (bazuar në lëvizjet debi-kredi që bëhen në sistem).  AKSHI po zhvillon module për këtë qëllim, të cilat janë në fazën e prokurimit. Zbatimi i sistemit parashikohet të kryhet nga fundi i vitit 2019. </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p>
    <w:p w:rsidR="00221487" w:rsidRPr="00221487" w:rsidRDefault="00221487" w:rsidP="00221487">
      <w:pPr>
        <w:spacing w:after="0" w:line="240" w:lineRule="auto"/>
        <w:jc w:val="both"/>
        <w:rPr>
          <w:rFonts w:ascii="Times New Roman" w:eastAsia="Times New Roman" w:hAnsi="Times New Roman" w:cs="Times New Roman"/>
          <w:b/>
          <w:noProof/>
          <w:sz w:val="24"/>
          <w:szCs w:val="24"/>
          <w:lang w:val="sq-AL"/>
        </w:rPr>
      </w:pPr>
      <w:r w:rsidRPr="00221487">
        <w:rPr>
          <w:rFonts w:ascii="Times New Roman" w:eastAsia="Times New Roman" w:hAnsi="Times New Roman" w:cs="Times New Roman"/>
          <w:b/>
          <w:noProof/>
          <w:sz w:val="24"/>
          <w:szCs w:val="24"/>
          <w:lang w:val="sq-AL"/>
        </w:rPr>
        <w:t>Masa 5: Garantimi i zhbllokimit të menjëhershëm të mallrave kur operatori ekonomik jep informacion paraprak të nevojshëm për kryerjen e auditimeve të bazuara në analizën e riskut</w:t>
      </w:r>
      <w:r w:rsidRPr="00221487">
        <w:rPr>
          <w:rFonts w:ascii="Times New Roman" w:eastAsia="Times New Roman" w:hAnsi="Times New Roman" w:cs="Times New Roman"/>
          <w:b/>
          <w:i/>
          <w:noProof/>
          <w:sz w:val="24"/>
          <w:szCs w:val="24"/>
          <w:lang w:val="sq-AL"/>
        </w:rPr>
        <w:t xml:space="preserve"> (në proces/ me vonesë)</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Shqipëria ende nuk ka Operatorë të Autorizuar Ekonomikë (OAE). Megjithatë, janë duke u shqyrtuar dy kërkesa. Sistemi për Menaxhimin e Riskut në Administratën Doganore nuk është në gjendje të përpunojë informacionin e para-mbërritjes për analizën e riskut për  mbrojtjen dhe sigurinë. Edhe sikur të kryhej ky proces, ofron lehtësira vetëm për zotëruesit e certifikatës AEOS, por jo për OAE-të që kanë certifikatën  AEOC. Asnjë operator ekonomik nuk i ka dhënë deri më sot informacion paraprak doganave. </w:t>
      </w:r>
    </w:p>
    <w:p w:rsidR="00221487" w:rsidRPr="00221487" w:rsidRDefault="00221487" w:rsidP="00221487">
      <w:pPr>
        <w:spacing w:after="0" w:line="240" w:lineRule="auto"/>
        <w:jc w:val="both"/>
        <w:rPr>
          <w:rFonts w:ascii="Times New Roman" w:eastAsia="Times New Roman" w:hAnsi="Times New Roman" w:cs="Times New Roman"/>
          <w:b/>
          <w:noProof/>
          <w:sz w:val="24"/>
          <w:szCs w:val="24"/>
          <w:lang w:val="sq-AL"/>
        </w:rPr>
      </w:pPr>
    </w:p>
    <w:p w:rsidR="00221487" w:rsidRPr="00221487" w:rsidRDefault="00221487" w:rsidP="00221487">
      <w:pPr>
        <w:spacing w:after="0" w:line="240" w:lineRule="auto"/>
        <w:jc w:val="both"/>
        <w:rPr>
          <w:rFonts w:ascii="Times New Roman" w:eastAsia="Times New Roman" w:hAnsi="Times New Roman" w:cs="Times New Roman"/>
          <w:b/>
          <w:i/>
          <w:noProof/>
          <w:sz w:val="24"/>
          <w:szCs w:val="24"/>
          <w:lang w:val="sq-AL"/>
        </w:rPr>
      </w:pPr>
      <w:r w:rsidRPr="00221487">
        <w:rPr>
          <w:rFonts w:ascii="Times New Roman" w:eastAsia="Times New Roman" w:hAnsi="Times New Roman" w:cs="Times New Roman"/>
          <w:b/>
          <w:noProof/>
          <w:sz w:val="24"/>
          <w:szCs w:val="24"/>
          <w:lang w:val="sq-AL"/>
        </w:rPr>
        <w:t xml:space="preserve">Masa 6: Marrja e masave për të luftuar mashtrimin </w:t>
      </w:r>
      <w:r w:rsidRPr="00221487">
        <w:rPr>
          <w:rFonts w:ascii="Times New Roman" w:eastAsia="Times New Roman" w:hAnsi="Times New Roman" w:cs="Times New Roman"/>
          <w:b/>
          <w:i/>
          <w:noProof/>
          <w:sz w:val="24"/>
          <w:szCs w:val="24"/>
          <w:lang w:val="sq-AL"/>
        </w:rPr>
        <w:t>(e plotësuar)</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Në fund të vitit 2017, u prezantua për herë të parë kanali blu dhe gjatë vitit 2018, 7.27 % e numrit total të deklaratave (SAD) janë përzgjedhur në Kanalin Blu. Ndërkohë janë rritur deklaratat në Kanalin e Gjelbërt, duke zgjeruar bazën e kësaj kategorie nga 5.58% (2017) në 8.60% (2018) të numrit total. Ky rikonfigurim prodhoi rezultatet e para duke reduktuar kohën e përpunimit të deklaratave doganore. Sipas të dhënave statistikore, deklaratat që përpunohen brenda 30 minutash janë rritur nga 26% në vitin </w:t>
      </w:r>
      <w:r w:rsidRPr="00221487">
        <w:rPr>
          <w:rFonts w:ascii="Times New Roman" w:eastAsia="Times New Roman" w:hAnsi="Times New Roman" w:cs="Times New Roman"/>
          <w:noProof/>
          <w:sz w:val="24"/>
          <w:szCs w:val="24"/>
          <w:lang w:val="sq-AL"/>
        </w:rPr>
        <w:lastRenderedPageBreak/>
        <w:t xml:space="preserve">2017 në 37% në vitin 2018. Rishikimi i kritereve të Kanalit Blu dhe Kanalit të Gjelbërt për të zgjeruar veprimtarinë e tyre, është një ndër qëllimet e DPD-së. </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Ka vijuar puna për përfundimin e sistemit të kontrollit të sigurisë me profilet e reja të përditësuara. Janë krijuar/përditësuar 40% profile të reja/të përditësuara risku. </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Për përdorimin e mekanizmit “klienti misterioz” për të konstatuar rastet e korrupsionit në dogana, DPD-ja ka përditësuar rregullisht listën me “klientët misteriozë”, bazuar në informacionin e dhënë dhe në analizën e riskut. </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color w:val="000000"/>
          <w:sz w:val="24"/>
          <w:szCs w:val="24"/>
          <w:lang w:val="sq-AL"/>
        </w:rPr>
        <w:t>Në muajin shkurt 2018, u nënshkrua një Memorandum Bashkëpunimi ndërmjet DPD-së dhe H.M Revenue dhe Doganave. Qëllimi i këtij memorandumi ishte hedhja e themeleve të bashkëpunimit dhe ndihmës së ndërsjellë duke siguruar përdorimin efektiv dhe efikas të burimeve për të mbrojtur vendet tona nga trafikimi i paligjshëm i mallrave duke krijuar marrëdhënie të përbashkëta pune dhe duke zhvilluar dhe forcuar bashkëpunimin në praktikë për çështje me interes të përbashkët.</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color w:val="000000"/>
          <w:sz w:val="24"/>
          <w:szCs w:val="24"/>
          <w:lang w:val="sq-AL"/>
        </w:rPr>
        <w:t>DPD synon, përveç misionit të saj për mbrojtjen e kufijve dhe eliminimin e trafikimit dhe kontrabandës, të përmirësojë profesionalisht stafin e saj. Prandaj, DPD ka përfituar nga një marrëveshje bashkëpunimi me Programin EXBS për Kontrollin e Eksportit dhe Sigurinë e Kufijve. Një grup oficerësh doganorë të Drejtorisë së Doganave të Rinasit morën pjesë në trajnimin ndërkombëtar të mbajtur në Aeroportin Ndërkombëtar të Hjuston, Teksas në 5-9 Mars. Gjatë këtij trajnimi, u trajtuan tema të tilla si lufta kundër drogës, kalimi i parave mbi limitin e lejuar, mallrat kontrabandë si ushqime të paautorizuar dhe produkteve bujqësore, si dhe identifikimi i personave me lidhje kriminale dhe terroriste.</w:t>
      </w:r>
    </w:p>
    <w:p w:rsidR="00221487" w:rsidRPr="00221487" w:rsidRDefault="00221487" w:rsidP="00221487">
      <w:pPr>
        <w:spacing w:after="0" w:line="240" w:lineRule="auto"/>
        <w:jc w:val="both"/>
        <w:rPr>
          <w:rFonts w:ascii="Times New Roman" w:eastAsia="Times New Roman" w:hAnsi="Times New Roman" w:cs="Times New Roman"/>
          <w:b/>
          <w:noProof/>
          <w:sz w:val="24"/>
          <w:szCs w:val="24"/>
          <w:lang w:val="sq-AL"/>
        </w:rPr>
      </w:pPr>
    </w:p>
    <w:p w:rsidR="00221487" w:rsidRPr="00221487" w:rsidRDefault="00221487" w:rsidP="00221487">
      <w:pPr>
        <w:spacing w:after="0" w:line="240" w:lineRule="auto"/>
        <w:jc w:val="both"/>
        <w:rPr>
          <w:rFonts w:ascii="Times New Roman" w:eastAsia="Times New Roman" w:hAnsi="Times New Roman" w:cs="Times New Roman"/>
          <w:b/>
          <w:noProof/>
          <w:sz w:val="24"/>
          <w:szCs w:val="24"/>
          <w:lang w:val="sq-AL"/>
        </w:rPr>
      </w:pPr>
      <w:r w:rsidRPr="00221487">
        <w:rPr>
          <w:rFonts w:ascii="Times New Roman" w:eastAsia="Times New Roman" w:hAnsi="Times New Roman" w:cs="Times New Roman"/>
          <w:b/>
          <w:noProof/>
          <w:sz w:val="24"/>
          <w:szCs w:val="24"/>
          <w:lang w:val="sq-AL"/>
        </w:rPr>
        <w:t xml:space="preserve">Masa 7: Përmirësimi i transparencës së aktiviteve doganore </w:t>
      </w:r>
      <w:r w:rsidRPr="00221487">
        <w:rPr>
          <w:rFonts w:ascii="Times New Roman" w:eastAsia="Times New Roman" w:hAnsi="Times New Roman" w:cs="Times New Roman"/>
          <w:b/>
          <w:i/>
          <w:noProof/>
          <w:sz w:val="24"/>
          <w:szCs w:val="24"/>
          <w:lang w:val="sq-AL"/>
        </w:rPr>
        <w:t>(e plotësuar)</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Janë ngritur strukturat përgjegjëse për administrimin e komunikimit me përdoruesit fundorë si nër Drejtorinë e Përgjithshme dhe Pikat Doganore. </w:t>
      </w:r>
      <w:r w:rsidRPr="008F76C6">
        <w:rPr>
          <w:rFonts w:ascii="Times New Roman" w:eastAsia="Times New Roman" w:hAnsi="Times New Roman" w:cs="Times New Roman"/>
          <w:noProof/>
          <w:sz w:val="24"/>
          <w:szCs w:val="24"/>
          <w:lang w:val="sq-AL"/>
        </w:rPr>
        <w:t>Shërbimi dhe funksionimi i Zyrës së Informacionit aktualisht funksionon normalisht, dhe është emëruar personi përgjegjës me urdhër të brendshëm, si dhe është aprovuar rregullorja e brendshme</w:t>
      </w:r>
      <w:r w:rsidR="008F76C6" w:rsidRPr="008F76C6">
        <w:rPr>
          <w:rFonts w:ascii="Times New Roman" w:eastAsia="Times New Roman" w:hAnsi="Times New Roman" w:cs="Times New Roman"/>
          <w:noProof/>
          <w:sz w:val="24"/>
          <w:szCs w:val="24"/>
          <w:lang w:val="sq-AL"/>
        </w:rPr>
        <w:t>;</w:t>
      </w:r>
      <w:r w:rsidRPr="008F76C6">
        <w:rPr>
          <w:rFonts w:ascii="Times New Roman" w:eastAsia="Times New Roman" w:hAnsi="Times New Roman" w:cs="Times New Roman"/>
          <w:noProof/>
          <w:sz w:val="24"/>
          <w:szCs w:val="24"/>
          <w:lang w:val="sq-AL"/>
        </w:rPr>
        <w:t xml:space="preserve"> është ngritur një zyrë dhe funksionon sipas Urdhrit të Ministrit të Financave dhe Ekonomisë dhe me kërkesë të Drejtorisë së Përgjithshme të Doganave.</w:t>
      </w:r>
      <w:r w:rsidRPr="00221487">
        <w:rPr>
          <w:rFonts w:ascii="Times New Roman" w:eastAsia="Times New Roman" w:hAnsi="Times New Roman" w:cs="Times New Roman"/>
          <w:noProof/>
          <w:sz w:val="24"/>
          <w:szCs w:val="24"/>
          <w:lang w:val="sq-AL"/>
        </w:rPr>
        <w:t xml:space="preserve"> Kuadri rregullator është e standardizuar si nga formatet e Agjencisë për Ofrimin e Shërbimeve të Integruara në Shqipëri (ADISA) dhe është botuar në faqen e internetit të Doganave.</w:t>
      </w:r>
    </w:p>
    <w:p w:rsidR="00221487" w:rsidRPr="00221487" w:rsidRDefault="00221487" w:rsidP="00221487">
      <w:pPr>
        <w:tabs>
          <w:tab w:val="left" w:pos="8190"/>
        </w:tabs>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ab/>
      </w:r>
    </w:p>
    <w:p w:rsidR="00221487" w:rsidRPr="00221487" w:rsidRDefault="00221487" w:rsidP="00221487">
      <w:pPr>
        <w:spacing w:after="0" w:line="240" w:lineRule="auto"/>
        <w:jc w:val="both"/>
        <w:rPr>
          <w:rFonts w:ascii="Times New Roman" w:eastAsia="Times New Roman" w:hAnsi="Times New Roman" w:cs="Times New Roman"/>
          <w:b/>
          <w:i/>
          <w:noProof/>
          <w:sz w:val="24"/>
          <w:szCs w:val="24"/>
          <w:lang w:val="sq-AL"/>
        </w:rPr>
      </w:pPr>
      <w:r w:rsidRPr="00221487">
        <w:rPr>
          <w:rFonts w:ascii="Times New Roman" w:eastAsia="Times New Roman" w:hAnsi="Times New Roman" w:cs="Times New Roman"/>
          <w:b/>
          <w:noProof/>
          <w:sz w:val="24"/>
          <w:szCs w:val="24"/>
          <w:lang w:val="sq-AL"/>
        </w:rPr>
        <w:t>Masa 8: Kontribut në zbatimin e Sistemit të Tarifave të Integruara në Administratën Doganore Shqiptare tërësisht në përputhje me BE EU – ITMS.</w:t>
      </w:r>
      <w:r w:rsidRPr="00221487">
        <w:rPr>
          <w:rFonts w:ascii="Times New Roman" w:eastAsia="Times New Roman" w:hAnsi="Times New Roman" w:cs="Times New Roman"/>
          <w:b/>
          <w:i/>
          <w:noProof/>
          <w:sz w:val="24"/>
          <w:szCs w:val="24"/>
          <w:lang w:val="sq-AL"/>
        </w:rPr>
        <w:t xml:space="preserve"> </w:t>
      </w:r>
      <w:r w:rsidRPr="00221487">
        <w:rPr>
          <w:rFonts w:ascii="Times New Roman" w:eastAsia="Times New Roman" w:hAnsi="Times New Roman" w:cs="Times New Roman"/>
          <w:b/>
          <w:noProof/>
          <w:sz w:val="24"/>
          <w:szCs w:val="24"/>
          <w:lang w:val="sq-AL"/>
        </w:rPr>
        <w:t>(</w:t>
      </w:r>
      <w:r w:rsidRPr="00221487">
        <w:rPr>
          <w:rFonts w:ascii="Times New Roman" w:eastAsia="Times New Roman" w:hAnsi="Times New Roman" w:cs="Times New Roman"/>
          <w:b/>
          <w:i/>
          <w:noProof/>
          <w:sz w:val="24"/>
          <w:szCs w:val="24"/>
          <w:lang w:val="sq-AL"/>
        </w:rPr>
        <w:t>në proces/ me vonesë)</w:t>
      </w:r>
    </w:p>
    <w:p w:rsidR="00221487" w:rsidRPr="00221487" w:rsidRDefault="00221487" w:rsidP="00221487">
      <w:pPr>
        <w:spacing w:after="0" w:line="240" w:lineRule="auto"/>
        <w:jc w:val="both"/>
        <w:rPr>
          <w:rFonts w:ascii="Times New Roman" w:eastAsia="Times New Roman" w:hAnsi="Times New Roman" w:cs="Times New Roman"/>
          <w:noProof/>
          <w:sz w:val="24"/>
          <w:szCs w:val="24"/>
          <w:highlight w:val="lightGray"/>
          <w:lang w:val="sq-AL"/>
        </w:rPr>
      </w:pP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U realizuan të gjitha aktivitetet e Projektit të Binjakëzimit, të parashikuar në letër-kërkesën operacionale dhe u prodhuan produktet përkatëse. Gjatë Komitetit të shtatë Drejtues, i mbajtur më 11 dhjetor 2018, u diskutua mundësia për të bërë një shtyrje pa kosto shtesë të projektit për tre muaj të tjera dhe u ra dakord mes partnerëve të Projektit të Binjakëzimit dhe BE, për të ndërmarrë disa aktivitete shtesë që kërkoi pala përfituese. Kërkesa erdhi si rrjedhojë e faktorëve të jashtëm pasi anullimi, shtatorin e shkuar, i kontratës së shërbimit n°2017/383-985 “Asistencë teknike për të zhvilluar Sistemin e kompjuterizuar të Menaxhimit të Integruar të Tarifave (ITMS)” ndikoi në disa prej aktivitetet e Komponentit 2. </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Për më tepër, ndryshimet më të fundit organizative në sektorin e TI-së, që u transferuan në varësinë e AKSHI (Agjencia Kombetare e Shoqerise se Informacionit) ndikuan në zbatimin e projektit. Ky skenar, i paparashikuar në fillim të projektit, kërkonte shtyrje të Projektit të Binjakëzimit për të rritur qëndrueshmërinë dhe për të trajnuar stafin e ri të TI-së, për të ndjekur dhe mbështetur zhvillimin e softuerit dhe shtrirjen e ITMS.</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Në kuadër të përafrimit të parashikuar për sistemin doganor shqiptar me sistemin doganor evropian, përafrimi gradual i kuadrit kombëtar doganor me </w:t>
      </w:r>
      <w:r w:rsidRPr="00221487">
        <w:rPr>
          <w:rFonts w:ascii="Times New Roman" w:eastAsia="Times New Roman" w:hAnsi="Times New Roman" w:cs="Times New Roman"/>
          <w:i/>
          <w:noProof/>
          <w:sz w:val="24"/>
          <w:szCs w:val="24"/>
          <w:lang w:val="sq-AL"/>
        </w:rPr>
        <w:t>acquis communaitaire</w:t>
      </w:r>
      <w:r w:rsidRPr="00221487">
        <w:rPr>
          <w:rFonts w:ascii="Times New Roman" w:eastAsia="Times New Roman" w:hAnsi="Times New Roman" w:cs="Times New Roman"/>
          <w:noProof/>
          <w:sz w:val="24"/>
          <w:szCs w:val="24"/>
          <w:lang w:val="sq-AL"/>
        </w:rPr>
        <w:t xml:space="preserve"> përfaqëson një nga prioritetet </w:t>
      </w:r>
      <w:r w:rsidRPr="00221487">
        <w:rPr>
          <w:rFonts w:ascii="Times New Roman" w:eastAsia="Times New Roman" w:hAnsi="Times New Roman" w:cs="Times New Roman"/>
          <w:noProof/>
          <w:sz w:val="24"/>
          <w:szCs w:val="24"/>
          <w:lang w:val="sq-AL"/>
        </w:rPr>
        <w:lastRenderedPageBreak/>
        <w:t xml:space="preserve">kyçe. Për këtë arsye, dhe duke pasur parasysh situatën e re më kontratën e shërbimit dhe ndryshimet organizative, shtyrja ishte e nevojshme për të pasur kohë të mjaftueshme për të zbatuar disa prej aktiviteteve të reja që janë strategjike për përmbushjen e  objektivave të projektit. </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Qëllimi i këtij ndryshimi formal të Kontratës së Binjakëzimit është: </w:t>
      </w:r>
    </w:p>
    <w:p w:rsidR="00221487" w:rsidRPr="00221487" w:rsidRDefault="00221487" w:rsidP="00221487">
      <w:pPr>
        <w:spacing w:after="0" w:line="240" w:lineRule="auto"/>
        <w:ind w:left="567"/>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1. Shtyrja e periudhës së zbatimit të masava nga 24 në 27 muaj (deri në muajin qershor 2019), </w:t>
      </w:r>
    </w:p>
    <w:p w:rsidR="00221487" w:rsidRPr="00221487" w:rsidRDefault="00221487" w:rsidP="00221487">
      <w:pPr>
        <w:spacing w:after="0" w:line="240" w:lineRule="auto"/>
        <w:ind w:left="567"/>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2. Prezantimi i një aktiviteti të ri (2.5) me tre nënaktivitete </w:t>
      </w:r>
    </w:p>
    <w:p w:rsidR="00221487" w:rsidRPr="00221487" w:rsidRDefault="00221487" w:rsidP="00221487">
      <w:pPr>
        <w:spacing w:after="0" w:line="240" w:lineRule="auto"/>
        <w:ind w:left="567"/>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3. Riprogramimi kohor i disa aktiviteteve dhe kryerja e rialokimeve të vogla buxhetore.                                                                                                                                                                                                                    </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Aktivitet i ri, i propozuar 2.5 “Zbatimi i sistemit të ri të klasifikimit” i dedikohej asistencës ndaj përfituesit për të adoptuar masa në planin afatshkurtër dhe afatmesëm, të nevojshme për të gjithë zgjidhje alternative në mungesë të zbatimit të softuerit ITMS. Prandaj, kërkohen aktivitete shtesë, si më poshtë, për të përgatitur stafin e TI-së me trajnimet e përshtatshme dhe mbështetje të ITMS:</w:t>
      </w:r>
    </w:p>
    <w:p w:rsidR="00221487" w:rsidRPr="00221487" w:rsidRDefault="00221487" w:rsidP="00221487">
      <w:pPr>
        <w:spacing w:after="0" w:line="240" w:lineRule="auto"/>
        <w:ind w:left="709" w:hanging="142"/>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a) Përkufizimi i specifikimeve të mjedisit CDPS, </w:t>
      </w:r>
    </w:p>
    <w:p w:rsidR="00221487" w:rsidRPr="00221487" w:rsidRDefault="00221487" w:rsidP="00221487">
      <w:pPr>
        <w:spacing w:after="0" w:line="240" w:lineRule="auto"/>
        <w:ind w:left="709" w:hanging="142"/>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b) Analiza dhe përcaktimi i rregullave të reja; </w:t>
      </w:r>
    </w:p>
    <w:p w:rsidR="00221487" w:rsidRPr="00221487" w:rsidRDefault="00221487" w:rsidP="00221487">
      <w:pPr>
        <w:spacing w:after="0" w:line="240" w:lineRule="auto"/>
        <w:ind w:left="709" w:hanging="142"/>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c) Verifikimi i njëtrajtshmërisë së rregullave.</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Këto aktivitete do të zbatohen gjatë harkut tremujor të shtyrjes së projektit.</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p>
    <w:p w:rsidR="00221487" w:rsidRPr="00221487" w:rsidRDefault="00221487" w:rsidP="00221487">
      <w:pPr>
        <w:spacing w:after="0" w:line="240" w:lineRule="auto"/>
        <w:jc w:val="both"/>
        <w:rPr>
          <w:rFonts w:ascii="Times New Roman" w:eastAsia="Times New Roman" w:hAnsi="Times New Roman" w:cs="Times New Roman"/>
          <w:noProof/>
          <w:sz w:val="24"/>
          <w:szCs w:val="24"/>
          <w:highlight w:val="lightGray"/>
          <w:lang w:val="sq-AL"/>
        </w:rPr>
      </w:pPr>
    </w:p>
    <w:p w:rsidR="00221487" w:rsidRPr="00221487" w:rsidRDefault="00221487" w:rsidP="00221487">
      <w:pPr>
        <w:keepNext/>
        <w:numPr>
          <w:ilvl w:val="2"/>
          <w:numId w:val="0"/>
        </w:numPr>
        <w:spacing w:after="0" w:line="240" w:lineRule="auto"/>
        <w:ind w:left="360" w:hanging="11"/>
        <w:jc w:val="both"/>
        <w:outlineLvl w:val="2"/>
        <w:rPr>
          <w:rFonts w:ascii="Times New Roman" w:eastAsia="Times" w:hAnsi="Times New Roman" w:cs="Times New Roman"/>
          <w:noProof/>
          <w:sz w:val="24"/>
          <w:szCs w:val="24"/>
          <w:lang w:val="sq-AL"/>
        </w:rPr>
      </w:pPr>
      <w:bookmarkStart w:id="49" w:name="_Toc3984185"/>
      <w:bookmarkStart w:id="50" w:name="_Toc3984474"/>
      <w:r w:rsidRPr="00221487">
        <w:rPr>
          <w:rFonts w:ascii="Times New Roman" w:eastAsia="Times" w:hAnsi="Times New Roman" w:cs="Times New Roman"/>
          <w:noProof/>
          <w:sz w:val="24"/>
          <w:szCs w:val="24"/>
          <w:lang w:val="sq-AL"/>
        </w:rPr>
        <w:t>Përmirësimi i mbulimit dhe funksionalitetit të SIFQ</w:t>
      </w:r>
      <w:bookmarkEnd w:id="49"/>
      <w:bookmarkEnd w:id="50"/>
    </w:p>
    <w:p w:rsidR="00221487" w:rsidRPr="00221487" w:rsidRDefault="00221487" w:rsidP="00221487">
      <w:pPr>
        <w:spacing w:after="0" w:line="240" w:lineRule="auto"/>
        <w:jc w:val="both"/>
        <w:rPr>
          <w:rFonts w:ascii="Times New Roman" w:hAnsi="Times New Roman" w:cs="Times New Roman"/>
          <w:noProof/>
          <w:sz w:val="24"/>
          <w:szCs w:val="24"/>
          <w:lang w:val="sq-AL"/>
        </w:rPr>
      </w:pPr>
    </w:p>
    <w:tbl>
      <w:tblPr>
        <w:tblW w:w="0" w:type="auto"/>
        <w:tblInd w:w="108"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ook w:val="04A0" w:firstRow="1" w:lastRow="0" w:firstColumn="1" w:lastColumn="0" w:noHBand="0" w:noVBand="1"/>
      </w:tblPr>
      <w:tblGrid>
        <w:gridCol w:w="1611"/>
        <w:gridCol w:w="549"/>
        <w:gridCol w:w="1440"/>
        <w:gridCol w:w="450"/>
        <w:gridCol w:w="5557"/>
      </w:tblGrid>
      <w:tr w:rsidR="00221487" w:rsidRPr="00221487" w:rsidTr="004342D7">
        <w:tc>
          <w:tcPr>
            <w:tcW w:w="9607" w:type="dxa"/>
            <w:gridSpan w:val="5"/>
            <w:tcBorders>
              <w:top w:val="single" w:sz="4" w:space="0" w:color="auto"/>
              <w:left w:val="single" w:sz="4" w:space="0" w:color="auto"/>
              <w:bottom w:val="nil"/>
              <w:right w:val="single" w:sz="4" w:space="0" w:color="auto"/>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t xml:space="preserve">Objecktivi </w:t>
            </w:r>
          </w:p>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noProof/>
                <w:sz w:val="24"/>
                <w:szCs w:val="24"/>
                <w:lang w:val="sq-AL"/>
              </w:rPr>
              <w:t xml:space="preserve">Regjistrim tërësisht transparent dhe efikas i shpenzimeve qeveritare dhe detyrimeve financiare të mbledhura. </w:t>
            </w:r>
          </w:p>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t>Treguesi i rezultatit 1</w:t>
            </w:r>
          </w:p>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noProof/>
                <w:sz w:val="24"/>
                <w:szCs w:val="24"/>
                <w:lang w:val="sq-AL"/>
              </w:rPr>
              <w:t xml:space="preserve">Detyrimet e prapambetura të grumbulluara për qeverinë qendrore maten si përqindje e totalit të shpenzimeve të mbledhura në fund të vitit fiskal. </w:t>
            </w:r>
          </w:p>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t>Vlera e treguesit</w:t>
            </w:r>
          </w:p>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noProof/>
                <w:sz w:val="24"/>
                <w:szCs w:val="24"/>
                <w:lang w:val="sq-AL"/>
              </w:rPr>
              <w:t xml:space="preserve">Ky tregues </w:t>
            </w:r>
            <w:r w:rsidRPr="00221487">
              <w:rPr>
                <w:rFonts w:ascii="Times New Roman" w:eastAsia="Times" w:hAnsi="Times New Roman" w:cs="Times New Roman"/>
                <w:b/>
                <w:noProof/>
                <w:sz w:val="24"/>
                <w:szCs w:val="24"/>
                <w:lang w:val="sq-AL"/>
              </w:rPr>
              <w:t>nuk u përmbush</w:t>
            </w:r>
            <w:r w:rsidRPr="00221487">
              <w:rPr>
                <w:rFonts w:ascii="Times New Roman" w:eastAsia="Times" w:hAnsi="Times New Roman" w:cs="Times New Roman"/>
                <w:noProof/>
                <w:sz w:val="24"/>
                <w:szCs w:val="24"/>
                <w:lang w:val="sq-AL"/>
              </w:rPr>
              <w:t xml:space="preserve"> krahasuar me vitin 2017.</w:t>
            </w:r>
          </w:p>
        </w:tc>
      </w:tr>
      <w:tr w:rsidR="00221487" w:rsidRPr="00221487" w:rsidTr="004342D7">
        <w:trPr>
          <w:trHeight w:val="261"/>
        </w:trPr>
        <w:tc>
          <w:tcPr>
            <w:tcW w:w="1611" w:type="dxa"/>
            <w:tcBorders>
              <w:top w:val="nil"/>
              <w:left w:val="single" w:sz="4" w:space="0" w:color="auto"/>
              <w:bottom w:val="nil"/>
              <w:right w:val="nil"/>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Vlera a=bazë (2016)</w:t>
            </w:r>
          </w:p>
        </w:tc>
        <w:tc>
          <w:tcPr>
            <w:tcW w:w="1989" w:type="dxa"/>
            <w:gridSpan w:val="2"/>
            <w:tcBorders>
              <w:top w:val="nil"/>
              <w:left w:val="nil"/>
              <w:bottom w:val="nil"/>
              <w:right w:val="nil"/>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2018</w:t>
            </w:r>
          </w:p>
        </w:tc>
        <w:tc>
          <w:tcPr>
            <w:tcW w:w="6007" w:type="dxa"/>
            <w:gridSpan w:val="2"/>
            <w:tcBorders>
              <w:top w:val="nil"/>
              <w:left w:val="nil"/>
              <w:bottom w:val="nil"/>
              <w:right w:val="single" w:sz="4" w:space="0" w:color="auto"/>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       Synimi 2020 </w:t>
            </w:r>
          </w:p>
        </w:tc>
      </w:tr>
      <w:tr w:rsidR="00221487" w:rsidRPr="00221487" w:rsidTr="004342D7">
        <w:trPr>
          <w:trHeight w:val="198"/>
        </w:trPr>
        <w:tc>
          <w:tcPr>
            <w:tcW w:w="1611" w:type="dxa"/>
            <w:tcBorders>
              <w:top w:val="nil"/>
              <w:left w:val="single" w:sz="4" w:space="0" w:color="auto"/>
              <w:bottom w:val="nil"/>
              <w:right w:val="nil"/>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0.48%</w:t>
            </w:r>
          </w:p>
        </w:tc>
        <w:tc>
          <w:tcPr>
            <w:tcW w:w="1989" w:type="dxa"/>
            <w:gridSpan w:val="2"/>
            <w:tcBorders>
              <w:top w:val="nil"/>
              <w:left w:val="nil"/>
              <w:bottom w:val="nil"/>
              <w:right w:val="nil"/>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bCs/>
                <w:noProof/>
                <w:sz w:val="24"/>
                <w:szCs w:val="24"/>
                <w:lang w:val="sq-AL"/>
              </w:rPr>
              <w:t>2.05%</w:t>
            </w:r>
          </w:p>
        </w:tc>
        <w:tc>
          <w:tcPr>
            <w:tcW w:w="6007" w:type="dxa"/>
            <w:gridSpan w:val="2"/>
            <w:tcBorders>
              <w:top w:val="nil"/>
              <w:left w:val="nil"/>
              <w:bottom w:val="nil"/>
              <w:right w:val="single" w:sz="4" w:space="0" w:color="auto"/>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    Tendencë në rënie</w:t>
            </w:r>
          </w:p>
        </w:tc>
      </w:tr>
      <w:tr w:rsidR="00221487" w:rsidRPr="00221487" w:rsidTr="004342D7">
        <w:trPr>
          <w:trHeight w:val="198"/>
        </w:trPr>
        <w:tc>
          <w:tcPr>
            <w:tcW w:w="9607" w:type="dxa"/>
            <w:gridSpan w:val="5"/>
            <w:tcBorders>
              <w:top w:val="nil"/>
              <w:left w:val="single" w:sz="4" w:space="0" w:color="auto"/>
              <w:bottom w:val="nil"/>
              <w:right w:val="single" w:sz="4" w:space="0" w:color="auto"/>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t>Treguesi i rezultatit 2</w:t>
            </w:r>
          </w:p>
        </w:tc>
      </w:tr>
      <w:tr w:rsidR="00221487" w:rsidRPr="00221487" w:rsidTr="004342D7">
        <w:trPr>
          <w:trHeight w:val="198"/>
        </w:trPr>
        <w:tc>
          <w:tcPr>
            <w:tcW w:w="9607" w:type="dxa"/>
            <w:gridSpan w:val="5"/>
            <w:tcBorders>
              <w:top w:val="nil"/>
              <w:left w:val="single" w:sz="4" w:space="0" w:color="auto"/>
              <w:bottom w:val="nil"/>
              <w:right w:val="single" w:sz="4" w:space="0" w:color="auto"/>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noProof/>
                <w:sz w:val="24"/>
                <w:szCs w:val="24"/>
                <w:lang w:val="sq-AL"/>
              </w:rPr>
              <w:t xml:space="preserve">Punonjësit e administratës publike të regjistruar në Sistemin Informatik të Menaxhimit të Burimeve Njerëzore (SIMBNJ), në përqindje. </w:t>
            </w:r>
          </w:p>
        </w:tc>
      </w:tr>
      <w:tr w:rsidR="00221487" w:rsidRPr="00221487" w:rsidTr="004342D7">
        <w:trPr>
          <w:trHeight w:val="198"/>
        </w:trPr>
        <w:tc>
          <w:tcPr>
            <w:tcW w:w="9607" w:type="dxa"/>
            <w:gridSpan w:val="5"/>
            <w:tcBorders>
              <w:top w:val="nil"/>
              <w:left w:val="single" w:sz="4" w:space="0" w:color="auto"/>
              <w:bottom w:val="nil"/>
              <w:right w:val="single" w:sz="4" w:space="0" w:color="auto"/>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t>Treguesi</w:t>
            </w:r>
          </w:p>
        </w:tc>
      </w:tr>
      <w:tr w:rsidR="00221487" w:rsidRPr="00221487" w:rsidTr="004342D7">
        <w:trPr>
          <w:trHeight w:val="198"/>
        </w:trPr>
        <w:tc>
          <w:tcPr>
            <w:tcW w:w="9607" w:type="dxa"/>
            <w:gridSpan w:val="5"/>
            <w:tcBorders>
              <w:top w:val="nil"/>
              <w:left w:val="single" w:sz="4" w:space="0" w:color="auto"/>
              <w:bottom w:val="nil"/>
              <w:right w:val="single" w:sz="4" w:space="0" w:color="auto"/>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noProof/>
                <w:sz w:val="24"/>
                <w:szCs w:val="24"/>
                <w:lang w:val="sq-AL"/>
              </w:rPr>
              <w:t xml:space="preserve">Treguesi për vitin 2018 </w:t>
            </w:r>
            <w:r w:rsidRPr="00221487">
              <w:rPr>
                <w:rFonts w:ascii="Times New Roman" w:eastAsia="Times" w:hAnsi="Times New Roman" w:cs="Times New Roman"/>
                <w:b/>
                <w:noProof/>
                <w:sz w:val="24"/>
                <w:szCs w:val="24"/>
                <w:lang w:val="sq-AL"/>
              </w:rPr>
              <w:t>u përmbush</w:t>
            </w:r>
            <w:r w:rsidRPr="00221487">
              <w:rPr>
                <w:rFonts w:ascii="Times New Roman" w:eastAsia="Times" w:hAnsi="Times New Roman" w:cs="Times New Roman"/>
                <w:noProof/>
                <w:sz w:val="24"/>
                <w:szCs w:val="24"/>
                <w:lang w:val="sq-AL"/>
              </w:rPr>
              <w:t xml:space="preserve"> pasi pati përmirësime krahasuar me vitin 2017</w:t>
            </w:r>
            <w:r w:rsidRPr="00221487">
              <w:rPr>
                <w:rFonts w:ascii="Times New Roman" w:eastAsia="Times" w:hAnsi="Times New Roman" w:cs="Times New Roman"/>
                <w:b/>
                <w:noProof/>
                <w:sz w:val="24"/>
                <w:szCs w:val="24"/>
                <w:lang w:val="sq-AL"/>
              </w:rPr>
              <w:t>.</w:t>
            </w:r>
          </w:p>
        </w:tc>
      </w:tr>
      <w:tr w:rsidR="00221487" w:rsidRPr="00221487" w:rsidTr="004342D7">
        <w:trPr>
          <w:trHeight w:val="198"/>
        </w:trPr>
        <w:tc>
          <w:tcPr>
            <w:tcW w:w="2160" w:type="dxa"/>
            <w:gridSpan w:val="2"/>
            <w:tcBorders>
              <w:top w:val="nil"/>
              <w:left w:val="single" w:sz="4" w:space="0" w:color="auto"/>
              <w:bottom w:val="nil"/>
              <w:right w:val="nil"/>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Vlera bazë (2013)</w:t>
            </w:r>
          </w:p>
        </w:tc>
        <w:tc>
          <w:tcPr>
            <w:tcW w:w="1890" w:type="dxa"/>
            <w:gridSpan w:val="2"/>
            <w:tcBorders>
              <w:top w:val="nil"/>
              <w:left w:val="nil"/>
              <w:bottom w:val="nil"/>
              <w:right w:val="nil"/>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2018</w:t>
            </w:r>
          </w:p>
        </w:tc>
        <w:tc>
          <w:tcPr>
            <w:tcW w:w="5557" w:type="dxa"/>
            <w:tcBorders>
              <w:top w:val="nil"/>
              <w:left w:val="nil"/>
              <w:bottom w:val="nil"/>
              <w:right w:val="single" w:sz="4" w:space="0" w:color="auto"/>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Synimi 2020 </w:t>
            </w:r>
          </w:p>
        </w:tc>
      </w:tr>
      <w:tr w:rsidR="00221487" w:rsidRPr="00221487" w:rsidTr="004342D7">
        <w:trPr>
          <w:trHeight w:val="198"/>
        </w:trPr>
        <w:tc>
          <w:tcPr>
            <w:tcW w:w="2160" w:type="dxa"/>
            <w:gridSpan w:val="2"/>
            <w:tcBorders>
              <w:top w:val="nil"/>
              <w:left w:val="single" w:sz="4" w:space="0" w:color="auto"/>
              <w:bottom w:val="single" w:sz="4" w:space="0" w:color="auto"/>
              <w:right w:val="nil"/>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0.5% </w:t>
            </w:r>
          </w:p>
        </w:tc>
        <w:tc>
          <w:tcPr>
            <w:tcW w:w="1890" w:type="dxa"/>
            <w:gridSpan w:val="2"/>
            <w:tcBorders>
              <w:top w:val="nil"/>
              <w:left w:val="nil"/>
              <w:bottom w:val="single" w:sz="4" w:space="0" w:color="auto"/>
              <w:right w:val="nil"/>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74%</w:t>
            </w:r>
          </w:p>
        </w:tc>
        <w:tc>
          <w:tcPr>
            <w:tcW w:w="5557" w:type="dxa"/>
            <w:tcBorders>
              <w:top w:val="nil"/>
              <w:left w:val="nil"/>
              <w:bottom w:val="single" w:sz="4" w:space="0" w:color="auto"/>
              <w:right w:val="single" w:sz="4" w:space="0" w:color="auto"/>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90%</w:t>
            </w:r>
          </w:p>
        </w:tc>
      </w:tr>
    </w:tbl>
    <w:p w:rsidR="00221487" w:rsidRPr="00221487" w:rsidRDefault="00221487" w:rsidP="00221487">
      <w:pPr>
        <w:spacing w:after="0" w:line="240" w:lineRule="auto"/>
        <w:jc w:val="both"/>
        <w:rPr>
          <w:rFonts w:ascii="Times New Roman" w:hAnsi="Times New Roman" w:cs="Times New Roman"/>
          <w:noProof/>
          <w:sz w:val="24"/>
          <w:szCs w:val="24"/>
          <w:highlight w:val="lightGray"/>
          <w:lang w:val="sq-AL"/>
        </w:rPr>
      </w:pPr>
    </w:p>
    <w:p w:rsidR="00221487" w:rsidRPr="00221487" w:rsidRDefault="00221487" w:rsidP="00221487">
      <w:pPr>
        <w:spacing w:after="0" w:line="240" w:lineRule="auto"/>
        <w:jc w:val="both"/>
        <w:rPr>
          <w:rFonts w:ascii="Times New Roman" w:hAnsi="Times New Roman" w:cs="Times New Roman"/>
          <w:b/>
          <w:noProof/>
          <w:sz w:val="24"/>
          <w:szCs w:val="24"/>
          <w:lang w:val="sq-AL"/>
        </w:rPr>
      </w:pPr>
      <w:r w:rsidRPr="00221487">
        <w:rPr>
          <w:rFonts w:ascii="Times New Roman" w:hAnsi="Times New Roman" w:cs="Times New Roman"/>
          <w:b/>
          <w:noProof/>
          <w:sz w:val="24"/>
          <w:szCs w:val="24"/>
          <w:lang w:val="sq-AL"/>
        </w:rPr>
        <w:t xml:space="preserve">Masa 1: </w:t>
      </w:r>
      <w:r w:rsidRPr="00221487">
        <w:rPr>
          <w:rFonts w:ascii="Times New Roman" w:eastAsia="Times New Roman" w:hAnsi="Times New Roman" w:cs="Times New Roman"/>
          <w:b/>
          <w:i/>
          <w:iCs/>
          <w:noProof/>
          <w:color w:val="000000"/>
          <w:sz w:val="24"/>
          <w:szCs w:val="24"/>
          <w:lang w:val="sq-AL" w:eastAsia="en-GB"/>
        </w:rPr>
        <w:t>Zgjerimi gradual i SIFQ për të gjitha njësitë kryesore buxhetore</w:t>
      </w:r>
      <w:r w:rsidRPr="00221487">
        <w:rPr>
          <w:rFonts w:ascii="Times New Roman" w:hAnsi="Times New Roman" w:cs="Times New Roman"/>
          <w:b/>
          <w:i/>
          <w:noProof/>
          <w:sz w:val="24"/>
          <w:szCs w:val="24"/>
          <w:lang w:val="sq-AL"/>
        </w:rPr>
        <w:t xml:space="preserve"> (në proces/sipas planit)</w:t>
      </w:r>
    </w:p>
    <w:p w:rsidR="00221487" w:rsidRPr="00221487" w:rsidRDefault="00221487" w:rsidP="00221487">
      <w:pPr>
        <w:spacing w:after="0" w:line="240" w:lineRule="auto"/>
        <w:jc w:val="both"/>
        <w:rPr>
          <w:rFonts w:ascii="Times New Roman" w:hAnsi="Times New Roman" w:cs="Times New Roman"/>
          <w:noProof/>
          <w:sz w:val="24"/>
          <w:szCs w:val="24"/>
          <w:lang w:val="sq-AL"/>
        </w:rPr>
      </w:pPr>
      <w:r w:rsidRPr="00221487">
        <w:rPr>
          <w:rFonts w:ascii="Times New Roman" w:hAnsi="Times New Roman" w:cs="Times New Roman"/>
          <w:noProof/>
          <w:sz w:val="24"/>
          <w:szCs w:val="24"/>
          <w:lang w:val="sq-AL"/>
        </w:rPr>
        <w:t>Bazuar në reformën e administratës publike të vitit 2017, për shkak të kostos financiare për licencat e përdoruesve për të hyrë në SIFQ dhe vendet vakante të stafit funksional SIFQ, kërkohet që kjo masë të shtyhet në vitin 2020 dhe të zvogëlohet numri i përgjithshëm i IB-ve nga 150 në 60, pasi edhe numri i IB-ve është zvogëluar dhe buxheti përqendrohet në më pak IB.</w:t>
      </w:r>
    </w:p>
    <w:p w:rsidR="00221487" w:rsidRPr="00221487" w:rsidRDefault="00221487" w:rsidP="00221487">
      <w:pPr>
        <w:spacing w:after="0" w:line="240" w:lineRule="auto"/>
        <w:jc w:val="both"/>
        <w:rPr>
          <w:rFonts w:ascii="Times New Roman" w:hAnsi="Times New Roman" w:cs="Times New Roman"/>
          <w:noProof/>
          <w:sz w:val="24"/>
          <w:szCs w:val="24"/>
          <w:lang w:val="sq-AL"/>
        </w:rPr>
      </w:pPr>
    </w:p>
    <w:p w:rsidR="00221487" w:rsidRPr="00221487" w:rsidRDefault="00221487" w:rsidP="00221487">
      <w:pPr>
        <w:spacing w:after="0" w:line="240" w:lineRule="auto"/>
        <w:jc w:val="both"/>
        <w:rPr>
          <w:rFonts w:ascii="Times New Roman" w:hAnsi="Times New Roman" w:cs="Times New Roman"/>
          <w:noProof/>
          <w:sz w:val="24"/>
          <w:szCs w:val="24"/>
          <w:lang w:val="sq-AL"/>
        </w:rPr>
      </w:pPr>
      <w:r w:rsidRPr="00221487">
        <w:rPr>
          <w:rFonts w:ascii="Times New Roman" w:hAnsi="Times New Roman" w:cs="Times New Roman"/>
          <w:noProof/>
          <w:sz w:val="24"/>
          <w:szCs w:val="24"/>
          <w:lang w:val="sq-AL"/>
        </w:rPr>
        <w:t>Masa</w:t>
      </w:r>
      <w:r w:rsidRPr="00221487">
        <w:rPr>
          <w:rFonts w:ascii="Times New Roman" w:hAnsi="Times New Roman" w:cs="Times New Roman"/>
          <w:b/>
          <w:noProof/>
          <w:sz w:val="24"/>
          <w:szCs w:val="24"/>
          <w:lang w:val="sq-AL"/>
        </w:rPr>
        <w:t xml:space="preserve"> 2: Konfigurimi i SIFQ për të lejuar gjurmimin e shpenzimeve operacionale sipas kodit të projektit </w:t>
      </w:r>
      <w:r w:rsidRPr="00221487">
        <w:rPr>
          <w:rFonts w:ascii="Times New Roman" w:eastAsia="Times New Roman" w:hAnsi="Times New Roman" w:cs="Times New Roman"/>
          <w:b/>
          <w:noProof/>
          <w:sz w:val="24"/>
          <w:szCs w:val="24"/>
          <w:lang w:val="sq-AL"/>
        </w:rPr>
        <w:t>(</w:t>
      </w:r>
      <w:r w:rsidRPr="00221487">
        <w:rPr>
          <w:rFonts w:ascii="Times New Roman" w:eastAsia="Times New Roman" w:hAnsi="Times New Roman" w:cs="Times New Roman"/>
          <w:b/>
          <w:i/>
          <w:noProof/>
          <w:sz w:val="24"/>
          <w:szCs w:val="24"/>
          <w:lang w:val="sq-AL"/>
        </w:rPr>
        <w:t>në proces/ sipas planit</w:t>
      </w:r>
      <w:r w:rsidRPr="00221487">
        <w:rPr>
          <w:rFonts w:ascii="Times New Roman" w:hAnsi="Times New Roman" w:cs="Times New Roman"/>
          <w:noProof/>
          <w:sz w:val="24"/>
          <w:szCs w:val="24"/>
          <w:lang w:val="sq-AL"/>
        </w:rPr>
        <w:t>)</w:t>
      </w:r>
    </w:p>
    <w:p w:rsidR="00221487" w:rsidRPr="00221487" w:rsidRDefault="00221487" w:rsidP="00221487">
      <w:pPr>
        <w:spacing w:after="0" w:line="240" w:lineRule="auto"/>
        <w:jc w:val="both"/>
        <w:rPr>
          <w:rFonts w:ascii="Times New Roman" w:hAnsi="Times New Roman" w:cs="Times New Roman"/>
          <w:noProof/>
          <w:sz w:val="24"/>
          <w:szCs w:val="24"/>
          <w:lang w:val="sq-AL"/>
        </w:rPr>
      </w:pPr>
      <w:r w:rsidRPr="00221487">
        <w:rPr>
          <w:rFonts w:ascii="Times New Roman" w:hAnsi="Times New Roman" w:cs="Times New Roman"/>
          <w:noProof/>
          <w:sz w:val="24"/>
          <w:szCs w:val="24"/>
          <w:lang w:val="sq-AL"/>
        </w:rPr>
        <w:lastRenderedPageBreak/>
        <w:t xml:space="preserve">Ndryshimi i konfigurimit të SIFQ për të lejuar gjurminin e shpenzimeve operacionale sipas kodit të projektit është pjesë e projektit SIMF. Projektimi dhe testimi i SIFQ-së përfunduan me sukses në vitin 2018, sipas Planit të Projektit SIMF. Pritet që ky aktivitet të ketë përfunduar në vitin 2019. </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p>
    <w:p w:rsidR="00221487" w:rsidRPr="00221487" w:rsidRDefault="00221487" w:rsidP="00221487">
      <w:pPr>
        <w:spacing w:after="0" w:line="240" w:lineRule="auto"/>
        <w:jc w:val="both"/>
        <w:rPr>
          <w:rFonts w:ascii="Times New Roman" w:eastAsia="Times New Roman" w:hAnsi="Times New Roman" w:cs="Times New Roman"/>
          <w:b/>
          <w:i/>
          <w:noProof/>
          <w:sz w:val="24"/>
          <w:szCs w:val="24"/>
          <w:lang w:val="sq-AL"/>
        </w:rPr>
      </w:pPr>
      <w:r w:rsidRPr="00221487">
        <w:rPr>
          <w:rFonts w:ascii="Times New Roman" w:eastAsia="Times" w:hAnsi="Times New Roman" w:cs="Times New Roman"/>
          <w:b/>
          <w:noProof/>
          <w:sz w:val="24"/>
          <w:szCs w:val="24"/>
          <w:lang w:val="sq-AL"/>
        </w:rPr>
        <w:t xml:space="preserve">Masa 3: Integrimi gradual i SIFQ-së dhe sistemeve të tjera qeveritare TI nën SIMF </w:t>
      </w:r>
      <w:r w:rsidRPr="00221487">
        <w:rPr>
          <w:rFonts w:ascii="Times New Roman" w:eastAsia="Times New Roman" w:hAnsi="Times New Roman" w:cs="Times New Roman"/>
          <w:b/>
          <w:noProof/>
          <w:sz w:val="24"/>
          <w:szCs w:val="24"/>
          <w:lang w:val="sq-AL"/>
        </w:rPr>
        <w:t>(</w:t>
      </w:r>
      <w:r w:rsidRPr="00221487">
        <w:rPr>
          <w:rFonts w:ascii="Times New Roman" w:eastAsia="Times New Roman" w:hAnsi="Times New Roman" w:cs="Times New Roman"/>
          <w:b/>
          <w:i/>
          <w:noProof/>
          <w:sz w:val="24"/>
          <w:szCs w:val="24"/>
          <w:lang w:val="sq-AL"/>
        </w:rPr>
        <w:t>në proces/ sipas planit)</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bCs/>
          <w:noProof/>
          <w:sz w:val="24"/>
          <w:szCs w:val="24"/>
          <w:lang w:val="sq-AL"/>
        </w:rPr>
        <w:t xml:space="preserve">MFE-ja po pret të fillojë testimin me DAP-in për integrimin SIFQ me SIMBNJ si dhe integrimin e </w:t>
      </w:r>
      <w:r w:rsidRPr="00221487">
        <w:rPr>
          <w:rFonts w:ascii="Times New Roman" w:eastAsia="Times New Roman" w:hAnsi="Times New Roman" w:cs="Times New Roman"/>
          <w:noProof/>
          <w:sz w:val="24"/>
          <w:szCs w:val="24"/>
          <w:lang w:val="sq-AL"/>
        </w:rPr>
        <w:t xml:space="preserve">SIFQ me Sistemin Informatik të Doganave për shkëmbim të përditshëm të informacionit mbi të ardhurat doganore. Janë mbajtur takime që DAP-i të përgatisë konfigurimet e nevojshme në </w:t>
      </w:r>
      <w:r w:rsidRPr="00221487">
        <w:rPr>
          <w:rFonts w:ascii="Times New Roman" w:eastAsia="Times New Roman" w:hAnsi="Times New Roman" w:cs="Times New Roman"/>
          <w:bCs/>
          <w:noProof/>
          <w:sz w:val="24"/>
          <w:szCs w:val="24"/>
          <w:lang w:val="sq-AL"/>
        </w:rPr>
        <w:t xml:space="preserve">SIMBNJ për ndërfaqen me SIFQ. Gjithashtu, është kryer testimi i brendshëm nga MFE-ja për pjesën e integrimit të SIFQ-së te SIMBNJ </w:t>
      </w:r>
      <w:r w:rsidRPr="00221487">
        <w:rPr>
          <w:rFonts w:ascii="Times New Roman" w:eastAsia="Times New Roman" w:hAnsi="Times New Roman" w:cs="Times New Roman"/>
          <w:noProof/>
          <w:sz w:val="24"/>
          <w:szCs w:val="24"/>
          <w:lang w:val="sq-AL"/>
        </w:rPr>
        <w:t>dhe Sistemin Informatik të Doganave. Në lidhje me dizajnin dhe zbatimin e portalit në internet për dorëzimin e dokumentit justifikues, të skanuar, te Thesari (lidhet me transaksione financiare si kontrata/shpenzime, fatura etj.) dhe zbatimin e arkivit elektronik si dokumentimi për të gjithë përdoruesit buxhetorë, gjatë vitit 2018 kompania JV për zbatimin e projektit SIMF, kreu dizajnin dhe testimin e portalit në internet, trajnimin dhe sistemi do të dalë “</w:t>
      </w:r>
      <w:r w:rsidRPr="00221487">
        <w:rPr>
          <w:rFonts w:ascii="Times New Roman" w:eastAsia="Times New Roman" w:hAnsi="Times New Roman" w:cs="Times New Roman"/>
          <w:i/>
          <w:noProof/>
          <w:sz w:val="24"/>
          <w:szCs w:val="24"/>
          <w:lang w:val="sq-AL"/>
        </w:rPr>
        <w:t>live</w:t>
      </w:r>
      <w:r w:rsidRPr="00221487">
        <w:rPr>
          <w:rFonts w:ascii="Times New Roman" w:eastAsia="Times New Roman" w:hAnsi="Times New Roman" w:cs="Times New Roman"/>
          <w:noProof/>
          <w:sz w:val="24"/>
          <w:szCs w:val="24"/>
          <w:lang w:val="sq-AL"/>
        </w:rPr>
        <w:t xml:space="preserve">” gjatë vitit </w:t>
      </w:r>
      <w:r w:rsidRPr="00221487">
        <w:rPr>
          <w:rFonts w:ascii="Times New Roman" w:eastAsia="Times New Roman" w:hAnsi="Times New Roman" w:cs="Times New Roman"/>
          <w:bCs/>
          <w:noProof/>
          <w:sz w:val="24"/>
          <w:szCs w:val="24"/>
          <w:lang w:val="sq-AL"/>
        </w:rPr>
        <w:t>2019.</w:t>
      </w:r>
    </w:p>
    <w:p w:rsidR="00221487" w:rsidRPr="00221487" w:rsidRDefault="00221487" w:rsidP="00221487">
      <w:pPr>
        <w:spacing w:after="0" w:line="240" w:lineRule="auto"/>
        <w:jc w:val="both"/>
        <w:rPr>
          <w:rFonts w:ascii="Times New Roman" w:hAnsi="Times New Roman" w:cs="Times New Roman"/>
          <w:noProof/>
          <w:sz w:val="24"/>
          <w:szCs w:val="24"/>
          <w:highlight w:val="lightGray"/>
          <w:lang w:val="sq-AL"/>
        </w:rPr>
      </w:pPr>
    </w:p>
    <w:p w:rsidR="00221487" w:rsidRPr="00221487" w:rsidRDefault="00221487" w:rsidP="00221487">
      <w:pPr>
        <w:spacing w:after="0" w:line="240" w:lineRule="auto"/>
        <w:jc w:val="both"/>
        <w:rPr>
          <w:rFonts w:ascii="Times New Roman" w:hAnsi="Times New Roman" w:cs="Times New Roman"/>
          <w:noProof/>
          <w:sz w:val="24"/>
          <w:szCs w:val="24"/>
          <w:highlight w:val="lightGray"/>
          <w:lang w:val="sq-AL"/>
        </w:rPr>
      </w:pPr>
    </w:p>
    <w:p w:rsidR="00221487" w:rsidRPr="00221487" w:rsidRDefault="00221487" w:rsidP="00221487">
      <w:pPr>
        <w:keepNext/>
        <w:numPr>
          <w:ilvl w:val="2"/>
          <w:numId w:val="0"/>
        </w:numPr>
        <w:spacing w:after="0" w:line="240" w:lineRule="auto"/>
        <w:ind w:left="360" w:hanging="11"/>
        <w:jc w:val="both"/>
        <w:outlineLvl w:val="2"/>
        <w:rPr>
          <w:rFonts w:ascii="Times New Roman" w:hAnsi="Times New Roman" w:cs="Times New Roman"/>
          <w:noProof/>
          <w:sz w:val="24"/>
          <w:szCs w:val="24"/>
          <w:lang w:val="sq-AL"/>
        </w:rPr>
      </w:pPr>
      <w:r w:rsidRPr="00221487">
        <w:rPr>
          <w:rFonts w:ascii="Times New Roman" w:hAnsi="Times New Roman" w:cs="Times New Roman"/>
          <w:noProof/>
          <w:sz w:val="24"/>
          <w:szCs w:val="24"/>
          <w:lang w:val="sq-AL"/>
        </w:rPr>
        <w:t>Menaxhimi i fondeve të jashtme</w:t>
      </w:r>
    </w:p>
    <w:p w:rsidR="00221487" w:rsidRPr="00221487" w:rsidRDefault="00221487" w:rsidP="00221487">
      <w:pPr>
        <w:spacing w:after="0" w:line="240" w:lineRule="auto"/>
        <w:jc w:val="both"/>
        <w:rPr>
          <w:rFonts w:ascii="Times New Roman" w:hAnsi="Times New Roman" w:cs="Times New Roman"/>
          <w:noProof/>
          <w:sz w:val="24"/>
          <w:szCs w:val="24"/>
          <w:lang w:val="sq-AL"/>
        </w:rPr>
      </w:pPr>
    </w:p>
    <w:tbl>
      <w:tblPr>
        <w:tblW w:w="0" w:type="auto"/>
        <w:tblInd w:w="108"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ook w:val="04A0" w:firstRow="1" w:lastRow="0" w:firstColumn="1" w:lastColumn="0" w:noHBand="0" w:noVBand="1"/>
      </w:tblPr>
      <w:tblGrid>
        <w:gridCol w:w="1890"/>
        <w:gridCol w:w="1890"/>
        <w:gridCol w:w="5737"/>
      </w:tblGrid>
      <w:tr w:rsidR="00221487" w:rsidRPr="005B32A4" w:rsidTr="004342D7">
        <w:tc>
          <w:tcPr>
            <w:tcW w:w="9517" w:type="dxa"/>
            <w:gridSpan w:val="3"/>
            <w:tcBorders>
              <w:top w:val="single" w:sz="4" w:space="0" w:color="auto"/>
              <w:left w:val="single" w:sz="4" w:space="0" w:color="auto"/>
              <w:bottom w:val="nil"/>
              <w:right w:val="single" w:sz="4" w:space="0" w:color="auto"/>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t xml:space="preserve">Objektivi </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Përdorim efektiv dhe transparent i sistemeve qeveritare të menaxhimit dhe kontrollit, përfshirë projektet e BE-së sipas programit IPA në mënyrë të decentralizuar.</w:t>
            </w:r>
          </w:p>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t>Treguesi i rezultatit</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Raporti i disbursimeve të fondeve të BE-së dhe atyre donatore të paraqitura në raportet fiskale mujore që përgatit Drejtoria e Thesarit. </w:t>
            </w:r>
          </w:p>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t>Vlera e treguesit</w:t>
            </w:r>
          </w:p>
          <w:tbl>
            <w:tblPr>
              <w:tblW w:w="0" w:type="auto"/>
              <w:tblBorders>
                <w:top w:val="nil"/>
                <w:left w:val="nil"/>
                <w:bottom w:val="nil"/>
                <w:right w:val="nil"/>
              </w:tblBorders>
              <w:tblLook w:val="0000" w:firstRow="0" w:lastRow="0" w:firstColumn="0" w:lastColumn="0" w:noHBand="0" w:noVBand="0"/>
            </w:tblPr>
            <w:tblGrid>
              <w:gridCol w:w="9301"/>
            </w:tblGrid>
            <w:tr w:rsidR="00221487" w:rsidRPr="005B32A4" w:rsidTr="004342D7">
              <w:trPr>
                <w:trHeight w:val="285"/>
              </w:trPr>
              <w:tc>
                <w:tcPr>
                  <w:tcW w:w="0" w:type="auto"/>
                </w:tcPr>
                <w:p w:rsidR="00221487" w:rsidRPr="00221487" w:rsidRDefault="00221487" w:rsidP="00221487">
                  <w:pPr>
                    <w:spacing w:after="0" w:line="240" w:lineRule="auto"/>
                    <w:jc w:val="both"/>
                    <w:rPr>
                      <w:rFonts w:ascii="Times New Roman" w:eastAsia="Times" w:hAnsi="Times New Roman" w:cs="Times New Roman"/>
                      <w:noProof/>
                      <w:sz w:val="24"/>
                      <w:szCs w:val="24"/>
                      <w:lang w:val="sq-AL" w:eastAsia="en-GB"/>
                    </w:rPr>
                  </w:pPr>
                  <w:r w:rsidRPr="00221487">
                    <w:rPr>
                      <w:rFonts w:ascii="Times New Roman" w:eastAsia="Times" w:hAnsi="Times New Roman" w:cs="Times New Roman"/>
                      <w:noProof/>
                      <w:sz w:val="24"/>
                      <w:szCs w:val="24"/>
                      <w:lang w:val="sq-AL" w:eastAsia="en-GB"/>
                    </w:rPr>
                    <w:t xml:space="preserve">Për këtë tregues </w:t>
                  </w:r>
                  <w:r w:rsidRPr="00221487">
                    <w:rPr>
                      <w:rFonts w:ascii="Times New Roman" w:eastAsia="Times" w:hAnsi="Times New Roman" w:cs="Times New Roman"/>
                      <w:b/>
                      <w:noProof/>
                      <w:sz w:val="24"/>
                      <w:szCs w:val="24"/>
                      <w:lang w:val="sq-AL" w:eastAsia="en-GB"/>
                    </w:rPr>
                    <w:t>nuk kishte të dhëna,</w:t>
                  </w:r>
                  <w:r w:rsidRPr="00221487">
                    <w:rPr>
                      <w:rFonts w:ascii="Times New Roman" w:eastAsia="Times" w:hAnsi="Times New Roman" w:cs="Times New Roman"/>
                      <w:noProof/>
                      <w:sz w:val="24"/>
                      <w:szCs w:val="24"/>
                      <w:lang w:val="sq-AL" w:eastAsia="en-GB"/>
                    </w:rPr>
                    <w:t xml:space="preserve"> pasi të dhënat për shumën totale të fondeve të disbursuara nga donatorët, pritet që të llogaritn me përfundimin e projektit SIMFJ. </w:t>
                  </w:r>
                </w:p>
              </w:tc>
            </w:tr>
          </w:tbl>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p>
        </w:tc>
      </w:tr>
      <w:tr w:rsidR="00221487" w:rsidRPr="00221487" w:rsidTr="004342D7">
        <w:trPr>
          <w:trHeight w:val="468"/>
        </w:trPr>
        <w:tc>
          <w:tcPr>
            <w:tcW w:w="1890" w:type="dxa"/>
            <w:tcBorders>
              <w:top w:val="nil"/>
              <w:left w:val="single" w:sz="4" w:space="0" w:color="auto"/>
              <w:bottom w:val="nil"/>
              <w:right w:val="nil"/>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Vlera bazë (2014)</w:t>
            </w:r>
          </w:p>
        </w:tc>
        <w:tc>
          <w:tcPr>
            <w:tcW w:w="1890" w:type="dxa"/>
            <w:tcBorders>
              <w:top w:val="nil"/>
              <w:left w:val="nil"/>
              <w:bottom w:val="nil"/>
              <w:right w:val="nil"/>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2018</w:t>
            </w:r>
          </w:p>
        </w:tc>
        <w:tc>
          <w:tcPr>
            <w:tcW w:w="5737" w:type="dxa"/>
            <w:tcBorders>
              <w:top w:val="nil"/>
              <w:left w:val="nil"/>
              <w:bottom w:val="nil"/>
              <w:right w:val="single" w:sz="4" w:space="0" w:color="auto"/>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Synimi 2020</w:t>
            </w:r>
          </w:p>
        </w:tc>
      </w:tr>
      <w:tr w:rsidR="00221487" w:rsidRPr="00221487" w:rsidTr="004342D7">
        <w:trPr>
          <w:trHeight w:val="198"/>
        </w:trPr>
        <w:tc>
          <w:tcPr>
            <w:tcW w:w="1890" w:type="dxa"/>
            <w:tcBorders>
              <w:top w:val="nil"/>
              <w:left w:val="single" w:sz="4" w:space="0" w:color="auto"/>
              <w:bottom w:val="single" w:sz="4" w:space="0" w:color="auto"/>
              <w:right w:val="nil"/>
            </w:tcBorders>
            <w:shd w:val="clear" w:color="auto" w:fill="D9D9D9" w:themeFill="background1" w:themeFillShade="D9"/>
            <w:hideMark/>
          </w:tcPr>
          <w:p w:rsidR="00221487" w:rsidRPr="00221487" w:rsidRDefault="00221487" w:rsidP="00221487">
            <w:pPr>
              <w:spacing w:after="0" w:line="240" w:lineRule="auto"/>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10% financim donator</w:t>
            </w:r>
          </w:p>
        </w:tc>
        <w:tc>
          <w:tcPr>
            <w:tcW w:w="1890" w:type="dxa"/>
            <w:tcBorders>
              <w:top w:val="nil"/>
              <w:left w:val="nil"/>
              <w:bottom w:val="single" w:sz="4" w:space="0" w:color="auto"/>
              <w:right w:val="nil"/>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NA</w:t>
            </w:r>
          </w:p>
        </w:tc>
        <w:tc>
          <w:tcPr>
            <w:tcW w:w="5737" w:type="dxa"/>
            <w:tcBorders>
              <w:top w:val="nil"/>
              <w:left w:val="nil"/>
              <w:bottom w:val="single" w:sz="4" w:space="0" w:color="auto"/>
              <w:right w:val="single" w:sz="4" w:space="0" w:color="auto"/>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Tendencë në rritje</w:t>
            </w:r>
          </w:p>
        </w:tc>
      </w:tr>
    </w:tbl>
    <w:p w:rsidR="00221487" w:rsidRPr="00221487" w:rsidRDefault="00221487" w:rsidP="00221487">
      <w:pPr>
        <w:spacing w:after="0" w:line="240" w:lineRule="auto"/>
        <w:jc w:val="both"/>
        <w:rPr>
          <w:rFonts w:ascii="Times New Roman" w:hAnsi="Times New Roman" w:cs="Times New Roman"/>
          <w:noProof/>
          <w:sz w:val="24"/>
          <w:szCs w:val="24"/>
          <w:highlight w:val="lightGray"/>
          <w:lang w:val="sq-AL"/>
        </w:rPr>
      </w:pPr>
    </w:p>
    <w:p w:rsidR="00221487" w:rsidRPr="00221487" w:rsidRDefault="00221487" w:rsidP="00221487">
      <w:pPr>
        <w:spacing w:after="0" w:line="240" w:lineRule="auto"/>
        <w:jc w:val="both"/>
        <w:rPr>
          <w:rFonts w:ascii="Times New Roman" w:eastAsia="Times" w:hAnsi="Times New Roman" w:cs="Times New Roman"/>
          <w:b/>
          <w:noProof/>
          <w:sz w:val="24"/>
          <w:szCs w:val="24"/>
          <w:lang w:val="sq-AL"/>
        </w:rPr>
      </w:pPr>
      <w:bookmarkStart w:id="51" w:name="_Toc502842894"/>
      <w:r w:rsidRPr="00221487">
        <w:rPr>
          <w:rFonts w:ascii="Times New Roman" w:eastAsia="Times" w:hAnsi="Times New Roman" w:cs="Times New Roman"/>
          <w:b/>
          <w:noProof/>
          <w:sz w:val="24"/>
          <w:szCs w:val="24"/>
          <w:lang w:val="sq-AL"/>
        </w:rPr>
        <w:t xml:space="preserve">Masa 1: Përgatitja dhe zbatimi i një programi, në bashkëpunim me donatorët, për të menaxhuar në mënyrë progresive fondet e jashtme nëpërmjet sistemeve qeveritare </w:t>
      </w:r>
      <w:r w:rsidRPr="00221487">
        <w:rPr>
          <w:rFonts w:ascii="Times New Roman" w:eastAsia="Times" w:hAnsi="Times New Roman" w:cs="Times New Roman"/>
          <w:b/>
          <w:i/>
          <w:noProof/>
          <w:sz w:val="24"/>
          <w:szCs w:val="24"/>
          <w:lang w:val="sq-AL"/>
        </w:rPr>
        <w:t>(në proces/ sipas planit)</w:t>
      </w:r>
    </w:p>
    <w:bookmarkEnd w:id="51"/>
    <w:p w:rsidR="00221487" w:rsidRPr="00221487" w:rsidRDefault="00221487" w:rsidP="00221487">
      <w:pPr>
        <w:widowControl w:val="0"/>
        <w:overflowPunct w:val="0"/>
        <w:autoSpaceDE w:val="0"/>
        <w:autoSpaceDN w:val="0"/>
        <w:adjustRightInd w:val="0"/>
        <w:spacing w:after="0" w:line="240" w:lineRule="auto"/>
        <w:ind w:right="20"/>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MFE në bashkëpunim me Kompaninë Synergy, gjatë vitit 2018, ka punuar çdo ditë që të përfundojë krijimin e SIMFJ. Janë zbatuar një numër aktivitetesh gjatë këtij viti në lidhje me SIMFJ. </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Zhvillimet më të rëndësishme për SIMFJ janë:</w:t>
      </w:r>
    </w:p>
    <w:p w:rsidR="00221487" w:rsidRPr="00221487" w:rsidRDefault="00221487" w:rsidP="007C6F79">
      <w:pPr>
        <w:numPr>
          <w:ilvl w:val="0"/>
          <w:numId w:val="10"/>
        </w:numPr>
        <w:spacing w:after="0" w:line="259" w:lineRule="auto"/>
        <w:contextualSpacing/>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Trajnimet e zhvilluara nga 7 – 14 maj 2018 në ambientet e MFE-së me përfaqësues të DIP, ministrive të linjës, AIDA dhe drejtorisë së TI-së brenda MFE-së. </w:t>
      </w:r>
    </w:p>
    <w:p w:rsidR="00221487" w:rsidRPr="00221487" w:rsidRDefault="00221487" w:rsidP="007C6F79">
      <w:pPr>
        <w:numPr>
          <w:ilvl w:val="0"/>
          <w:numId w:val="10"/>
        </w:numPr>
        <w:spacing w:after="0" w:line="259" w:lineRule="auto"/>
        <w:contextualSpacing/>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Të dhënat historike të gjithë projekteve të financuara nga donatorët deri në muajin dhjetor 2016, iu siguruan Synergy-së dhe u hodhën më sukses në SIMFJ, për periudhën 2000-2016. </w:t>
      </w:r>
    </w:p>
    <w:p w:rsidR="00221487" w:rsidRPr="00221487" w:rsidRDefault="00221487" w:rsidP="007C6F79">
      <w:pPr>
        <w:numPr>
          <w:ilvl w:val="0"/>
          <w:numId w:val="10"/>
        </w:numPr>
        <w:spacing w:after="0" w:line="259" w:lineRule="auto"/>
        <w:contextualSpacing/>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Integrimi i ndërfaqeve është zhvilluar në sistemin SIMFJ dhe u testuan me sukses me të dhëna “beninje” (XML files). </w:t>
      </w:r>
    </w:p>
    <w:p w:rsidR="00221487" w:rsidRPr="00221487" w:rsidRDefault="00221487" w:rsidP="007C6F79">
      <w:pPr>
        <w:numPr>
          <w:ilvl w:val="0"/>
          <w:numId w:val="10"/>
        </w:numPr>
        <w:spacing w:after="0" w:line="259" w:lineRule="auto"/>
        <w:contextualSpacing/>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lastRenderedPageBreak/>
        <w:t xml:space="preserve">Për projektet e Bankës Botërore, të dhënat janë dakordësuar që të importohen në sistem duke përdorur ndërfaqen e integrimit të BB-së. </w:t>
      </w:r>
    </w:p>
    <w:p w:rsidR="00221487" w:rsidRPr="00221487" w:rsidRDefault="00221487" w:rsidP="007C6F79">
      <w:pPr>
        <w:numPr>
          <w:ilvl w:val="0"/>
          <w:numId w:val="10"/>
        </w:numPr>
        <w:spacing w:after="0" w:line="259" w:lineRule="auto"/>
        <w:contextualSpacing/>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Sistemi është LIVE dhe mund të hyhet në </w:t>
      </w:r>
      <w:hyperlink r:id="rId15" w:history="1">
        <w:r w:rsidRPr="00221487">
          <w:rPr>
            <w:rFonts w:ascii="Times New Roman" w:eastAsia="Times" w:hAnsi="Times New Roman" w:cs="Times New Roman"/>
            <w:noProof/>
            <w:color w:val="0000FF"/>
            <w:sz w:val="24"/>
            <w:szCs w:val="24"/>
            <w:u w:val="single"/>
            <w:lang w:val="sq-AL"/>
          </w:rPr>
          <w:t>https://SIMFJ.gov.al/mofe/</w:t>
        </w:r>
      </w:hyperlink>
      <w:r w:rsidRPr="00221487">
        <w:rPr>
          <w:rFonts w:ascii="Times New Roman" w:eastAsia="Times New Roman" w:hAnsi="Times New Roman" w:cs="Times New Roman"/>
          <w:noProof/>
          <w:sz w:val="24"/>
          <w:szCs w:val="24"/>
          <w:lang w:val="sq-AL"/>
        </w:rPr>
        <w:t xml:space="preserve"> - adresë publike.</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Sistemi SIMFJ do të integrohet me sisteme të tjera qeveritare, përfshirë IPSIS dhe SIMF dhe ATRAKO. Sistemi SIMFJ do të integrohet edhe me platforma të donatorëve, përfshirë: </w:t>
      </w:r>
    </w:p>
    <w:p w:rsidR="00221487" w:rsidRPr="00221487" w:rsidRDefault="00221487" w:rsidP="007C6F79">
      <w:pPr>
        <w:numPr>
          <w:ilvl w:val="1"/>
          <w:numId w:val="11"/>
        </w:numPr>
        <w:spacing w:after="0" w:line="259" w:lineRule="auto"/>
        <w:contextualSpacing/>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Platforma CC e BB, </w:t>
      </w:r>
    </w:p>
    <w:p w:rsidR="00221487" w:rsidRPr="00221487" w:rsidRDefault="00221487" w:rsidP="007C6F79">
      <w:pPr>
        <w:numPr>
          <w:ilvl w:val="1"/>
          <w:numId w:val="11"/>
        </w:numPr>
        <w:spacing w:after="0" w:line="259" w:lineRule="auto"/>
        <w:contextualSpacing/>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Italia – platforma rajonale e-Progress që është një platformë e dedikuar nga AICS</w:t>
      </w:r>
    </w:p>
    <w:p w:rsidR="00221487" w:rsidRPr="00221487" w:rsidRDefault="00221487" w:rsidP="007C6F79">
      <w:pPr>
        <w:numPr>
          <w:ilvl w:val="1"/>
          <w:numId w:val="11"/>
        </w:numPr>
        <w:spacing w:after="0" w:line="259" w:lineRule="auto"/>
        <w:contextualSpacing/>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Aktualisht MFE dhe Kompania Synergy, po punojnë të analizojnë hendeqet ndërmjet  SIMFJ dhe platformës IATI, duke marrë si të dhëna pilote, të dhënat nga Drejtoria për Fqinjësi dhe Anëtarësim në BE; </w:t>
      </w:r>
    </w:p>
    <w:p w:rsidR="00221487" w:rsidRPr="00221487" w:rsidRDefault="00221487" w:rsidP="007C6F79">
      <w:pPr>
        <w:numPr>
          <w:ilvl w:val="1"/>
          <w:numId w:val="11"/>
        </w:numPr>
        <w:spacing w:after="0" w:line="259" w:lineRule="auto"/>
        <w:contextualSpacing/>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Do të merret vendimi nëse SIMFJ do të rikuperojë të dhënat donatore që raportojnë në IATI nëpërmjet kësaj platforme.  </w:t>
      </w:r>
    </w:p>
    <w:p w:rsidR="00221487" w:rsidRPr="00221487" w:rsidRDefault="00221487" w:rsidP="00221487">
      <w:pPr>
        <w:spacing w:after="0" w:line="240" w:lineRule="auto"/>
        <w:jc w:val="both"/>
        <w:rPr>
          <w:rFonts w:ascii="Times New Roman" w:eastAsia="Times New Roman" w:hAnsi="Times New Roman" w:cs="Times New Roman"/>
          <w:b/>
          <w:noProof/>
          <w:sz w:val="24"/>
          <w:szCs w:val="24"/>
          <w:u w:val="single"/>
          <w:lang w:val="sq-AL"/>
        </w:rPr>
      </w:pPr>
      <w:r w:rsidRPr="00221487">
        <w:rPr>
          <w:rFonts w:ascii="Times New Roman" w:eastAsia="Times New Roman" w:hAnsi="Times New Roman" w:cs="Times New Roman"/>
          <w:b/>
          <w:noProof/>
          <w:sz w:val="24"/>
          <w:szCs w:val="24"/>
          <w:lang w:val="sq-AL"/>
        </w:rPr>
        <w:t xml:space="preserve">Memorandumi i Bashkëpunimit i SIMFJ dhe Procedurat Standarde të Punës – </w:t>
      </w:r>
      <w:r w:rsidRPr="00221487">
        <w:rPr>
          <w:rFonts w:ascii="Times New Roman" w:eastAsia="Times New Roman" w:hAnsi="Times New Roman" w:cs="Times New Roman"/>
          <w:noProof/>
          <w:sz w:val="24"/>
          <w:szCs w:val="24"/>
          <w:lang w:val="sq-AL"/>
        </w:rPr>
        <w:t>Qëllimi i Memorandumit të Bashkëpunimit të SIMFJ-it, është të krijohen ura bashkëpunimi ndërmjet MFE-së dhe Partnerëve për Zhvillim, për të shkëmbyer dhe për të përdorur informacionin për asistencën e jashtme në Shqipëri nëpërmjet SIMFJ.  Janë nënshkruar MB-së me:</w:t>
      </w:r>
    </w:p>
    <w:p w:rsidR="00221487" w:rsidRPr="00221487" w:rsidRDefault="00221487" w:rsidP="007C6F79">
      <w:pPr>
        <w:numPr>
          <w:ilvl w:val="0"/>
          <w:numId w:val="9"/>
        </w:num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Agjencinë Austriake për Zhvillim; </w:t>
      </w:r>
    </w:p>
    <w:p w:rsidR="00221487" w:rsidRPr="00221487" w:rsidRDefault="00221487" w:rsidP="007C6F79">
      <w:pPr>
        <w:numPr>
          <w:ilvl w:val="0"/>
          <w:numId w:val="9"/>
        </w:num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USAID;</w:t>
      </w:r>
    </w:p>
    <w:p w:rsidR="00221487" w:rsidRPr="00221487" w:rsidRDefault="00221487" w:rsidP="007C6F79">
      <w:pPr>
        <w:numPr>
          <w:ilvl w:val="0"/>
          <w:numId w:val="9"/>
        </w:num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Agjencinë Japoneze për Zhvillim Ndërkombëtar; </w:t>
      </w:r>
    </w:p>
    <w:p w:rsidR="00221487" w:rsidRPr="00221487" w:rsidRDefault="00221487" w:rsidP="007C6F79">
      <w:pPr>
        <w:numPr>
          <w:ilvl w:val="0"/>
          <w:numId w:val="9"/>
        </w:num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Ambasadën e Zvicrës.</w:t>
      </w:r>
    </w:p>
    <w:p w:rsidR="00221487" w:rsidRPr="00221487" w:rsidRDefault="00221487" w:rsidP="007C6F79">
      <w:pPr>
        <w:numPr>
          <w:ilvl w:val="0"/>
          <w:numId w:val="9"/>
        </w:num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Suedinë</w:t>
      </w:r>
    </w:p>
    <w:p w:rsidR="00221487" w:rsidRPr="00221487" w:rsidRDefault="00221487" w:rsidP="007C6F79">
      <w:pPr>
        <w:numPr>
          <w:ilvl w:val="0"/>
          <w:numId w:val="9"/>
        </w:num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OSBE – Prezenca në Shqipëri</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Data për përfundimin e kontratës “</w:t>
      </w:r>
      <w:r w:rsidRPr="00221487">
        <w:rPr>
          <w:rFonts w:ascii="Times New Roman" w:eastAsia="Times New Roman" w:hAnsi="Times New Roman" w:cs="Times New Roman"/>
          <w:i/>
          <w:noProof/>
          <w:sz w:val="24"/>
          <w:szCs w:val="24"/>
          <w:lang w:val="sq-AL"/>
        </w:rPr>
        <w:t>Krijimi dhe instalimi i Sistemit Informatik për Menaxhimin e Asistencës së Jashtme</w:t>
      </w:r>
      <w:r w:rsidRPr="00221487">
        <w:rPr>
          <w:rFonts w:ascii="Times New Roman" w:eastAsia="Times New Roman" w:hAnsi="Times New Roman" w:cs="Times New Roman"/>
          <w:noProof/>
          <w:sz w:val="24"/>
          <w:szCs w:val="24"/>
          <w:lang w:val="sq-AL"/>
        </w:rPr>
        <w:t xml:space="preserve">” ishte 30 qershori 2018. Aktualisht, sistemi SIMAJ është në periudhë prove që zgjat deri në muajin qershor 2019. </w:t>
      </w:r>
    </w:p>
    <w:p w:rsidR="00221487" w:rsidRPr="00221487" w:rsidRDefault="00221487" w:rsidP="00221487">
      <w:pPr>
        <w:spacing w:before="100" w:beforeAutospacing="1" w:after="100" w:afterAutospacing="1"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b/>
          <w:noProof/>
          <w:sz w:val="24"/>
          <w:szCs w:val="24"/>
          <w:lang w:val="sq-AL"/>
        </w:rPr>
        <w:t>Portali SIMAJ në internet</w:t>
      </w:r>
      <w:r w:rsidRPr="00221487">
        <w:rPr>
          <w:rFonts w:ascii="Times New Roman" w:eastAsia="Times New Roman" w:hAnsi="Times New Roman" w:cs="Times New Roman"/>
          <w:noProof/>
          <w:sz w:val="24"/>
          <w:szCs w:val="24"/>
          <w:lang w:val="sq-AL"/>
        </w:rPr>
        <w:t xml:space="preserve"> - Portali do të shërbejë si ndërfaqe mediatike për organizatën dhe është projektuar për të bashkuar të dhëna dhe burime të ndryshme nga burime të ndryshme në mënyrë të njëtrajtshme. Portali do të jetë një faqe në internet, e sigurt, që është e aksesueshme nga çdo kompjuter ose telefon celular i lidhur në internet. Përdoruesit e autorizuar do të jenë në gjendje të hyjnë në portal për të shtuar ose modifikuar përmbajtjen e portalit. </w:t>
      </w:r>
    </w:p>
    <w:p w:rsidR="00221487" w:rsidRPr="00221487" w:rsidRDefault="00221487" w:rsidP="00221487">
      <w:pPr>
        <w:spacing w:after="0" w:line="240" w:lineRule="auto"/>
        <w:jc w:val="both"/>
        <w:rPr>
          <w:rFonts w:ascii="Times New Roman" w:hAnsi="Times New Roman" w:cs="Times New Roman"/>
          <w:noProof/>
          <w:sz w:val="24"/>
          <w:szCs w:val="24"/>
          <w:lang w:val="sq-AL"/>
        </w:rPr>
      </w:pPr>
      <w:r w:rsidRPr="00221487">
        <w:rPr>
          <w:rFonts w:ascii="Times New Roman" w:hAnsi="Times New Roman" w:cs="Times New Roman"/>
          <w:noProof/>
          <w:sz w:val="24"/>
          <w:szCs w:val="24"/>
          <w:lang w:val="sq-AL"/>
        </w:rPr>
        <w:t xml:space="preserve">Që prej muajit dhjetor 2018, platforma SIMAJ do të menaxhohet nga sektori i sapokrijuar për Koordinimin e Ndihmës së Huaj, në MFE, i cili është i plotësuar me staf, përveç pozicionit të drejtorit që është ende vakant. Më 14.12.2018, u mbajt një takim me komunitetin e donatorëve me qëllim diskutimin e statusit të SIMAJ dhe sfidat në të ardhmen. </w:t>
      </w:r>
    </w:p>
    <w:p w:rsidR="00221487" w:rsidRPr="00221487" w:rsidRDefault="00221487" w:rsidP="00221487">
      <w:pPr>
        <w:spacing w:after="0" w:line="240" w:lineRule="auto"/>
        <w:jc w:val="both"/>
        <w:rPr>
          <w:rFonts w:ascii="Times New Roman" w:hAnsi="Times New Roman" w:cs="Times New Roman"/>
          <w:noProof/>
          <w:sz w:val="24"/>
          <w:szCs w:val="24"/>
          <w:lang w:val="sq-AL"/>
        </w:rPr>
      </w:pPr>
    </w:p>
    <w:p w:rsidR="00221487" w:rsidRPr="00221487" w:rsidRDefault="00221487" w:rsidP="00221487">
      <w:pPr>
        <w:keepNext/>
        <w:numPr>
          <w:ilvl w:val="2"/>
          <w:numId w:val="0"/>
        </w:numPr>
        <w:spacing w:after="0" w:line="240" w:lineRule="auto"/>
        <w:ind w:left="450" w:hanging="153"/>
        <w:jc w:val="both"/>
        <w:outlineLvl w:val="2"/>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Menaxhimi i borxhit dhe i likuiditetit</w:t>
      </w:r>
    </w:p>
    <w:p w:rsidR="00221487" w:rsidRPr="00221487" w:rsidRDefault="00221487" w:rsidP="00221487">
      <w:pPr>
        <w:spacing w:after="0" w:line="240" w:lineRule="auto"/>
        <w:jc w:val="both"/>
        <w:rPr>
          <w:rFonts w:ascii="Times New Roman" w:eastAsia="Calibri" w:hAnsi="Times New Roman" w:cs="Times New Roman"/>
          <w:noProof/>
          <w:sz w:val="24"/>
          <w:szCs w:val="24"/>
          <w:highlight w:val="lightGray"/>
          <w:lang w:val="sq-AL"/>
        </w:rPr>
      </w:pPr>
    </w:p>
    <w:tbl>
      <w:tblPr>
        <w:tblW w:w="0" w:type="auto"/>
        <w:tblInd w:w="108"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ook w:val="04A0" w:firstRow="1" w:lastRow="0" w:firstColumn="1" w:lastColumn="0" w:noHBand="0" w:noVBand="1"/>
      </w:tblPr>
      <w:tblGrid>
        <w:gridCol w:w="1890"/>
        <w:gridCol w:w="270"/>
        <w:gridCol w:w="1260"/>
        <w:gridCol w:w="458"/>
        <w:gridCol w:w="5459"/>
      </w:tblGrid>
      <w:tr w:rsidR="00221487" w:rsidRPr="005B32A4" w:rsidTr="004342D7">
        <w:tc>
          <w:tcPr>
            <w:tcW w:w="9337" w:type="dxa"/>
            <w:gridSpan w:val="5"/>
            <w:tcBorders>
              <w:top w:val="single" w:sz="4" w:space="0" w:color="auto"/>
              <w:left w:val="single" w:sz="4" w:space="0" w:color="auto"/>
              <w:bottom w:val="nil"/>
              <w:right w:val="single" w:sz="4" w:space="0" w:color="auto"/>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t>Objektivi</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Përgatitja e strategjive vjetore për menaxhimin e borxhit.</w:t>
            </w:r>
          </w:p>
          <w:p w:rsidR="00221487" w:rsidRPr="00221487" w:rsidRDefault="00221487" w:rsidP="00221487">
            <w:pPr>
              <w:spacing w:after="0" w:line="240" w:lineRule="auto"/>
              <w:jc w:val="both"/>
              <w:rPr>
                <w:rFonts w:ascii="Times New Roman" w:eastAsia="Times" w:hAnsi="Times New Roman" w:cs="Times New Roman"/>
                <w:i/>
                <w:noProof/>
                <w:sz w:val="24"/>
                <w:szCs w:val="24"/>
                <w:highlight w:val="lightGray"/>
                <w:lang w:val="sq-AL"/>
              </w:rPr>
            </w:pPr>
            <w:r w:rsidRPr="00221487">
              <w:rPr>
                <w:rFonts w:ascii="Times New Roman" w:eastAsia="Times" w:hAnsi="Times New Roman" w:cs="Times New Roman"/>
                <w:i/>
                <w:noProof/>
                <w:sz w:val="24"/>
                <w:szCs w:val="24"/>
                <w:lang w:val="sq-AL"/>
              </w:rPr>
              <w:t>Treguesi i rezultatit 1</w:t>
            </w:r>
          </w:p>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noProof/>
                <w:sz w:val="24"/>
                <w:szCs w:val="24"/>
                <w:lang w:val="sq-AL"/>
              </w:rPr>
              <w:t>Stoku i borxhit të brendshëm risistemohet brenda një viti.</w:t>
            </w:r>
            <w:r w:rsidRPr="00221487">
              <w:rPr>
                <w:rFonts w:ascii="Times New Roman" w:eastAsia="Times" w:hAnsi="Times New Roman" w:cs="Times New Roman"/>
                <w:i/>
                <w:noProof/>
                <w:sz w:val="24"/>
                <w:szCs w:val="24"/>
                <w:lang w:val="sq-AL"/>
              </w:rPr>
              <w:t xml:space="preserve"> </w:t>
            </w:r>
          </w:p>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t>Vlera e treguesit</w:t>
            </w:r>
          </w:p>
          <w:p w:rsidR="00221487" w:rsidRPr="00221487" w:rsidRDefault="00221487" w:rsidP="00221487">
            <w:pPr>
              <w:spacing w:after="0" w:line="240" w:lineRule="auto"/>
              <w:jc w:val="both"/>
              <w:rPr>
                <w:rFonts w:ascii="Times New Roman" w:eastAsia="Times" w:hAnsi="Times New Roman" w:cs="Times New Roman"/>
                <w:i/>
                <w:noProof/>
                <w:sz w:val="24"/>
                <w:szCs w:val="24"/>
                <w:highlight w:val="lightGray"/>
                <w:lang w:val="sq-AL"/>
              </w:rPr>
            </w:pPr>
            <w:r w:rsidRPr="00221487">
              <w:rPr>
                <w:rFonts w:ascii="Times New Roman" w:eastAsia="Times" w:hAnsi="Times New Roman" w:cs="Times New Roman"/>
                <w:noProof/>
                <w:sz w:val="24"/>
                <w:szCs w:val="24"/>
                <w:lang w:val="sq-AL"/>
              </w:rPr>
              <w:lastRenderedPageBreak/>
              <w:t>Treguesi për vitin 2018 u përmbush dhe tejkaloi objektivin, pasi raporti i stokut të borxhit të brendshëm që rifinancon normën e interesit brenda një viti kundrejt stokut total të borxhit të brendshëm të prapambetur u ul.</w:t>
            </w:r>
          </w:p>
        </w:tc>
      </w:tr>
      <w:tr w:rsidR="00221487" w:rsidRPr="00221487" w:rsidTr="004342D7">
        <w:trPr>
          <w:trHeight w:val="261"/>
        </w:trPr>
        <w:tc>
          <w:tcPr>
            <w:tcW w:w="1890" w:type="dxa"/>
            <w:tcBorders>
              <w:top w:val="nil"/>
              <w:left w:val="single" w:sz="4" w:space="0" w:color="auto"/>
              <w:bottom w:val="nil"/>
              <w:right w:val="nil"/>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lastRenderedPageBreak/>
              <w:t>Vlera bazë (2015)</w:t>
            </w:r>
          </w:p>
        </w:tc>
        <w:tc>
          <w:tcPr>
            <w:tcW w:w="1530" w:type="dxa"/>
            <w:gridSpan w:val="2"/>
            <w:tcBorders>
              <w:top w:val="nil"/>
              <w:left w:val="nil"/>
              <w:bottom w:val="nil"/>
              <w:right w:val="nil"/>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2018 </w:t>
            </w:r>
          </w:p>
        </w:tc>
        <w:tc>
          <w:tcPr>
            <w:tcW w:w="5917" w:type="dxa"/>
            <w:gridSpan w:val="2"/>
            <w:tcBorders>
              <w:top w:val="nil"/>
              <w:left w:val="nil"/>
              <w:bottom w:val="nil"/>
              <w:right w:val="single" w:sz="4" w:space="0" w:color="auto"/>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Synimi 2018 </w:t>
            </w:r>
          </w:p>
        </w:tc>
      </w:tr>
      <w:tr w:rsidR="00221487" w:rsidRPr="00221487" w:rsidTr="004342D7">
        <w:trPr>
          <w:trHeight w:val="198"/>
        </w:trPr>
        <w:tc>
          <w:tcPr>
            <w:tcW w:w="1890" w:type="dxa"/>
            <w:tcBorders>
              <w:top w:val="nil"/>
              <w:left w:val="single" w:sz="4" w:space="0" w:color="auto"/>
              <w:bottom w:val="nil"/>
              <w:right w:val="nil"/>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67.7%</w:t>
            </w:r>
          </w:p>
        </w:tc>
        <w:tc>
          <w:tcPr>
            <w:tcW w:w="1530" w:type="dxa"/>
            <w:gridSpan w:val="2"/>
            <w:tcBorders>
              <w:top w:val="nil"/>
              <w:left w:val="nil"/>
              <w:bottom w:val="nil"/>
              <w:right w:val="nil"/>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54.3%</w:t>
            </w:r>
          </w:p>
        </w:tc>
        <w:tc>
          <w:tcPr>
            <w:tcW w:w="5917" w:type="dxa"/>
            <w:gridSpan w:val="2"/>
            <w:tcBorders>
              <w:top w:val="nil"/>
              <w:left w:val="nil"/>
              <w:bottom w:val="nil"/>
              <w:right w:val="single" w:sz="4" w:space="0" w:color="auto"/>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60.0%</w:t>
            </w:r>
          </w:p>
        </w:tc>
      </w:tr>
      <w:tr w:rsidR="00221487" w:rsidRPr="005B32A4" w:rsidTr="004342D7">
        <w:tc>
          <w:tcPr>
            <w:tcW w:w="9337" w:type="dxa"/>
            <w:gridSpan w:val="5"/>
            <w:tcBorders>
              <w:top w:val="nil"/>
              <w:left w:val="single" w:sz="4" w:space="0" w:color="auto"/>
              <w:bottom w:val="nil"/>
              <w:right w:val="single" w:sz="4" w:space="0" w:color="auto"/>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t>Treguesi i rezultatit 2</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Rritja e ditëve të maturimit të borxhit të brendshëm në 790 ditë. </w:t>
            </w:r>
          </w:p>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t>Vlera e treguesit</w:t>
            </w:r>
          </w:p>
          <w:p w:rsidR="00221487" w:rsidRPr="00221487" w:rsidRDefault="00221487" w:rsidP="00221487">
            <w:pPr>
              <w:spacing w:after="0" w:line="240" w:lineRule="auto"/>
              <w:jc w:val="both"/>
              <w:rPr>
                <w:rFonts w:ascii="Times New Roman" w:eastAsia="Times" w:hAnsi="Times New Roman" w:cs="Times New Roman"/>
                <w:i/>
                <w:noProof/>
                <w:sz w:val="24"/>
                <w:szCs w:val="24"/>
                <w:highlight w:val="lightGray"/>
                <w:lang w:val="sq-AL"/>
              </w:rPr>
            </w:pPr>
            <w:r w:rsidRPr="00221487">
              <w:rPr>
                <w:rFonts w:ascii="Times New Roman" w:eastAsia="Times" w:hAnsi="Times New Roman" w:cs="Times New Roman"/>
                <w:noProof/>
                <w:sz w:val="24"/>
                <w:szCs w:val="24"/>
                <w:lang w:val="sq-AL"/>
              </w:rPr>
              <w:t xml:space="preserve">Vlera e treguesit për vitin 2018 </w:t>
            </w:r>
            <w:r w:rsidRPr="00221487">
              <w:rPr>
                <w:rFonts w:ascii="Times New Roman" w:eastAsia="Times" w:hAnsi="Times New Roman" w:cs="Times New Roman"/>
                <w:b/>
                <w:noProof/>
                <w:sz w:val="24"/>
                <w:szCs w:val="24"/>
                <w:lang w:val="sq-AL"/>
              </w:rPr>
              <w:t xml:space="preserve">nuk u përmbush. </w:t>
            </w:r>
            <w:r w:rsidRPr="00221487">
              <w:rPr>
                <w:rFonts w:ascii="Times New Roman" w:eastAsia="Times" w:hAnsi="Times New Roman" w:cs="Times New Roman"/>
                <w:noProof/>
                <w:sz w:val="24"/>
                <w:szCs w:val="24"/>
                <w:lang w:val="sq-AL"/>
              </w:rPr>
              <w:t>Megjithëse ditët e maturimit të borxhit të brendshëm u rritën nga</w:t>
            </w:r>
            <w:r w:rsidRPr="00221487">
              <w:rPr>
                <w:rFonts w:ascii="Times New Roman" w:eastAsia="Times" w:hAnsi="Times New Roman" w:cs="Times New Roman"/>
                <w:b/>
                <w:noProof/>
                <w:sz w:val="24"/>
                <w:szCs w:val="24"/>
                <w:lang w:val="sq-AL"/>
              </w:rPr>
              <w:t xml:space="preserve"> </w:t>
            </w:r>
            <w:r w:rsidRPr="00221487">
              <w:rPr>
                <w:rFonts w:ascii="Times New Roman" w:eastAsia="Times" w:hAnsi="Times New Roman" w:cs="Times New Roman"/>
                <w:noProof/>
                <w:sz w:val="24"/>
                <w:szCs w:val="24"/>
                <w:lang w:val="sq-AL"/>
              </w:rPr>
              <w:t xml:space="preserve">780 ditë në vititn 2017 e 783 ditë në vitin 2018, vlera e synuar nuk u realizua. </w:t>
            </w:r>
          </w:p>
        </w:tc>
      </w:tr>
      <w:tr w:rsidR="00221487" w:rsidRPr="00221487" w:rsidTr="004342D7">
        <w:trPr>
          <w:trHeight w:val="261"/>
        </w:trPr>
        <w:tc>
          <w:tcPr>
            <w:tcW w:w="1890" w:type="dxa"/>
            <w:tcBorders>
              <w:top w:val="nil"/>
              <w:left w:val="single" w:sz="4" w:space="0" w:color="auto"/>
              <w:bottom w:val="nil"/>
              <w:right w:val="nil"/>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Vlera bazë (2015)</w:t>
            </w:r>
          </w:p>
        </w:tc>
        <w:tc>
          <w:tcPr>
            <w:tcW w:w="1530" w:type="dxa"/>
            <w:gridSpan w:val="2"/>
            <w:tcBorders>
              <w:top w:val="nil"/>
              <w:left w:val="nil"/>
              <w:bottom w:val="nil"/>
              <w:right w:val="nil"/>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       2017 </w:t>
            </w:r>
          </w:p>
        </w:tc>
        <w:tc>
          <w:tcPr>
            <w:tcW w:w="5917" w:type="dxa"/>
            <w:gridSpan w:val="2"/>
            <w:tcBorders>
              <w:top w:val="nil"/>
              <w:left w:val="nil"/>
              <w:bottom w:val="nil"/>
              <w:right w:val="single" w:sz="4" w:space="0" w:color="auto"/>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 Objektivi 2018</w:t>
            </w:r>
          </w:p>
        </w:tc>
      </w:tr>
      <w:tr w:rsidR="00221487" w:rsidRPr="00221487" w:rsidTr="004342D7">
        <w:trPr>
          <w:trHeight w:val="198"/>
        </w:trPr>
        <w:tc>
          <w:tcPr>
            <w:tcW w:w="1890" w:type="dxa"/>
            <w:tcBorders>
              <w:top w:val="nil"/>
              <w:left w:val="single" w:sz="4" w:space="0" w:color="auto"/>
              <w:bottom w:val="nil"/>
              <w:right w:val="nil"/>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705 ditë</w:t>
            </w:r>
          </w:p>
        </w:tc>
        <w:tc>
          <w:tcPr>
            <w:tcW w:w="1530" w:type="dxa"/>
            <w:gridSpan w:val="2"/>
            <w:tcBorders>
              <w:top w:val="nil"/>
              <w:left w:val="nil"/>
              <w:bottom w:val="nil"/>
              <w:right w:val="nil"/>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783 ditë</w:t>
            </w:r>
          </w:p>
        </w:tc>
        <w:tc>
          <w:tcPr>
            <w:tcW w:w="5917" w:type="dxa"/>
            <w:gridSpan w:val="2"/>
            <w:tcBorders>
              <w:top w:val="nil"/>
              <w:left w:val="nil"/>
              <w:bottom w:val="nil"/>
              <w:right w:val="single" w:sz="4" w:space="0" w:color="auto"/>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790 ditë</w:t>
            </w:r>
          </w:p>
        </w:tc>
      </w:tr>
      <w:tr w:rsidR="00221487" w:rsidRPr="00221487" w:rsidTr="004342D7">
        <w:trPr>
          <w:trHeight w:val="198"/>
        </w:trPr>
        <w:tc>
          <w:tcPr>
            <w:tcW w:w="9337" w:type="dxa"/>
            <w:gridSpan w:val="5"/>
            <w:tcBorders>
              <w:top w:val="nil"/>
              <w:left w:val="single" w:sz="4" w:space="0" w:color="auto"/>
              <w:bottom w:val="nil"/>
              <w:right w:val="single" w:sz="4" w:space="0" w:color="auto"/>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t>Treguesi i rezultatit 3</w:t>
            </w:r>
          </w:p>
        </w:tc>
      </w:tr>
      <w:tr w:rsidR="00221487" w:rsidRPr="005B32A4" w:rsidTr="004342D7">
        <w:trPr>
          <w:trHeight w:val="198"/>
        </w:trPr>
        <w:tc>
          <w:tcPr>
            <w:tcW w:w="9337" w:type="dxa"/>
            <w:gridSpan w:val="5"/>
            <w:tcBorders>
              <w:top w:val="nil"/>
              <w:left w:val="single" w:sz="4" w:space="0" w:color="auto"/>
              <w:bottom w:val="nil"/>
              <w:right w:val="single" w:sz="4" w:space="0" w:color="auto"/>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noProof/>
                <w:sz w:val="24"/>
                <w:szCs w:val="24"/>
                <w:lang w:val="sq-AL"/>
              </w:rPr>
              <w:t>Bilanci fiskal primar pozitiv me një nivel prej më shumë se 2%</w:t>
            </w:r>
          </w:p>
        </w:tc>
      </w:tr>
      <w:tr w:rsidR="00221487" w:rsidRPr="00221487" w:rsidTr="004342D7">
        <w:trPr>
          <w:trHeight w:val="198"/>
        </w:trPr>
        <w:tc>
          <w:tcPr>
            <w:tcW w:w="9337" w:type="dxa"/>
            <w:gridSpan w:val="5"/>
            <w:tcBorders>
              <w:top w:val="nil"/>
              <w:left w:val="single" w:sz="4" w:space="0" w:color="auto"/>
              <w:bottom w:val="nil"/>
              <w:right w:val="single" w:sz="4" w:space="0" w:color="auto"/>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t>Vlera e treguesit</w:t>
            </w:r>
          </w:p>
        </w:tc>
      </w:tr>
      <w:tr w:rsidR="00221487" w:rsidRPr="00221487" w:rsidTr="004342D7">
        <w:trPr>
          <w:trHeight w:val="198"/>
        </w:trPr>
        <w:tc>
          <w:tcPr>
            <w:tcW w:w="9337" w:type="dxa"/>
            <w:gridSpan w:val="5"/>
            <w:tcBorders>
              <w:top w:val="nil"/>
              <w:left w:val="single" w:sz="4" w:space="0" w:color="auto"/>
              <w:bottom w:val="nil"/>
              <w:right w:val="single" w:sz="4" w:space="0" w:color="auto"/>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noProof/>
                <w:sz w:val="24"/>
                <w:szCs w:val="24"/>
                <w:lang w:val="sq-AL"/>
              </w:rPr>
              <w:t>Vlera e synuar për vitin 2018</w:t>
            </w:r>
            <w:r w:rsidRPr="00221487">
              <w:rPr>
                <w:rFonts w:ascii="Times New Roman" w:eastAsia="Times New Roman" w:hAnsi="Times New Roman" w:cs="Times New Roman"/>
                <w:noProof/>
                <w:sz w:val="24"/>
                <w:szCs w:val="24"/>
                <w:lang w:val="sq-AL"/>
              </w:rPr>
              <w:t xml:space="preserve"> </w:t>
            </w:r>
            <w:r w:rsidRPr="00221487">
              <w:rPr>
                <w:rFonts w:ascii="Times New Roman" w:eastAsia="Times" w:hAnsi="Times New Roman" w:cs="Times New Roman"/>
                <w:b/>
                <w:noProof/>
                <w:sz w:val="24"/>
                <w:szCs w:val="24"/>
                <w:lang w:val="sq-AL"/>
              </w:rPr>
              <w:t xml:space="preserve">u përmbush pjesërisht </w:t>
            </w:r>
            <w:r w:rsidRPr="00221487">
              <w:rPr>
                <w:rFonts w:ascii="Times New Roman" w:eastAsia="Times" w:hAnsi="Times New Roman" w:cs="Times New Roman"/>
                <w:noProof/>
                <w:sz w:val="24"/>
                <w:szCs w:val="24"/>
                <w:lang w:val="sq-AL"/>
              </w:rPr>
              <w:t xml:space="preserve">krahasuar me vitin 2017.  </w:t>
            </w:r>
          </w:p>
        </w:tc>
      </w:tr>
      <w:tr w:rsidR="00221487" w:rsidRPr="00221487" w:rsidTr="004342D7">
        <w:trPr>
          <w:trHeight w:val="198"/>
        </w:trPr>
        <w:tc>
          <w:tcPr>
            <w:tcW w:w="2160" w:type="dxa"/>
            <w:gridSpan w:val="2"/>
            <w:tcBorders>
              <w:top w:val="nil"/>
              <w:left w:val="single" w:sz="4" w:space="0" w:color="auto"/>
              <w:bottom w:val="nil"/>
              <w:right w:val="nil"/>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Vlera bazë (2015) </w:t>
            </w:r>
          </w:p>
        </w:tc>
        <w:tc>
          <w:tcPr>
            <w:tcW w:w="1718" w:type="dxa"/>
            <w:gridSpan w:val="2"/>
            <w:tcBorders>
              <w:top w:val="nil"/>
              <w:left w:val="nil"/>
              <w:bottom w:val="nil"/>
              <w:right w:val="nil"/>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2018 </w:t>
            </w:r>
          </w:p>
        </w:tc>
        <w:tc>
          <w:tcPr>
            <w:tcW w:w="5459" w:type="dxa"/>
            <w:tcBorders>
              <w:top w:val="nil"/>
              <w:left w:val="nil"/>
              <w:bottom w:val="nil"/>
              <w:right w:val="single" w:sz="4" w:space="0" w:color="auto"/>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Objektivi 2020</w:t>
            </w:r>
          </w:p>
        </w:tc>
      </w:tr>
      <w:tr w:rsidR="00221487" w:rsidRPr="00221487" w:rsidTr="004342D7">
        <w:trPr>
          <w:trHeight w:val="198"/>
        </w:trPr>
        <w:tc>
          <w:tcPr>
            <w:tcW w:w="2160" w:type="dxa"/>
            <w:gridSpan w:val="2"/>
            <w:tcBorders>
              <w:top w:val="nil"/>
              <w:left w:val="single" w:sz="4" w:space="0" w:color="auto"/>
              <w:bottom w:val="single" w:sz="4" w:space="0" w:color="auto"/>
              <w:right w:val="nil"/>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-1.7%</w:t>
            </w:r>
          </w:p>
        </w:tc>
        <w:tc>
          <w:tcPr>
            <w:tcW w:w="1718" w:type="dxa"/>
            <w:gridSpan w:val="2"/>
            <w:tcBorders>
              <w:top w:val="nil"/>
              <w:left w:val="nil"/>
              <w:bottom w:val="single" w:sz="4" w:space="0" w:color="auto"/>
              <w:right w:val="nil"/>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+ 0.5%  </w:t>
            </w:r>
          </w:p>
        </w:tc>
        <w:tc>
          <w:tcPr>
            <w:tcW w:w="5459" w:type="dxa"/>
            <w:tcBorders>
              <w:top w:val="nil"/>
              <w:left w:val="nil"/>
              <w:bottom w:val="single" w:sz="4" w:space="0" w:color="auto"/>
              <w:right w:val="single" w:sz="4" w:space="0" w:color="auto"/>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+2%</w:t>
            </w:r>
          </w:p>
        </w:tc>
      </w:tr>
    </w:tbl>
    <w:p w:rsidR="00221487" w:rsidRPr="00221487" w:rsidRDefault="00221487" w:rsidP="00221487">
      <w:pPr>
        <w:spacing w:after="0" w:line="240" w:lineRule="auto"/>
        <w:jc w:val="both"/>
        <w:rPr>
          <w:rFonts w:ascii="Times New Roman" w:eastAsia="Times" w:hAnsi="Times New Roman" w:cs="Times New Roman"/>
          <w:noProof/>
          <w:sz w:val="24"/>
          <w:szCs w:val="24"/>
          <w:highlight w:val="lightGray"/>
          <w:lang w:val="sq-AL"/>
        </w:rPr>
      </w:pPr>
    </w:p>
    <w:p w:rsidR="00221487" w:rsidRPr="00221487" w:rsidRDefault="00221487" w:rsidP="00221487">
      <w:pPr>
        <w:spacing w:after="0" w:line="240" w:lineRule="auto"/>
        <w:jc w:val="both"/>
        <w:rPr>
          <w:rFonts w:ascii="Times New Roman" w:hAnsi="Times New Roman" w:cs="Times New Roman"/>
          <w:b/>
          <w:noProof/>
          <w:sz w:val="24"/>
          <w:szCs w:val="24"/>
          <w:lang w:val="sq-AL"/>
        </w:rPr>
      </w:pPr>
    </w:p>
    <w:p w:rsidR="00221487" w:rsidRPr="00221487" w:rsidRDefault="00221487" w:rsidP="00221487">
      <w:pPr>
        <w:spacing w:after="0" w:line="240" w:lineRule="auto"/>
        <w:jc w:val="both"/>
        <w:rPr>
          <w:rFonts w:ascii="Times New Roman" w:hAnsi="Times New Roman" w:cs="Times New Roman"/>
          <w:b/>
          <w:i/>
          <w:noProof/>
          <w:sz w:val="24"/>
          <w:szCs w:val="24"/>
          <w:lang w:val="sq-AL"/>
        </w:rPr>
      </w:pPr>
      <w:r w:rsidRPr="00221487">
        <w:rPr>
          <w:rFonts w:ascii="Times New Roman" w:hAnsi="Times New Roman" w:cs="Times New Roman"/>
          <w:b/>
          <w:noProof/>
          <w:sz w:val="24"/>
          <w:szCs w:val="24"/>
          <w:lang w:val="sq-AL"/>
        </w:rPr>
        <w:t xml:space="preserve">Masa 1: Rishikimi i organizimit aktual institucional, organizimit të brendshëm dhe stafit përgjegjës për menaxhimin e borxhit dhe likuiditetit </w:t>
      </w:r>
      <w:r w:rsidRPr="00221487">
        <w:rPr>
          <w:rFonts w:ascii="Times New Roman" w:hAnsi="Times New Roman" w:cs="Times New Roman"/>
          <w:b/>
          <w:i/>
          <w:noProof/>
          <w:sz w:val="24"/>
          <w:szCs w:val="24"/>
          <w:lang w:val="sq-AL"/>
        </w:rPr>
        <w:t>(në proces/ me vonesë)</w:t>
      </w:r>
    </w:p>
    <w:p w:rsidR="00221487" w:rsidRPr="00221487" w:rsidRDefault="00221487" w:rsidP="00221487">
      <w:pPr>
        <w:spacing w:after="0" w:line="240" w:lineRule="auto"/>
        <w:jc w:val="both"/>
        <w:rPr>
          <w:rFonts w:ascii="Times New Roman" w:eastAsia="Calibri" w:hAnsi="Times New Roman" w:cs="Times New Roman"/>
          <w:noProof/>
          <w:kern w:val="1"/>
          <w:sz w:val="24"/>
          <w:szCs w:val="24"/>
          <w:lang w:val="sq-AL"/>
        </w:rPr>
      </w:pPr>
      <w:r w:rsidRPr="00221487">
        <w:rPr>
          <w:rFonts w:ascii="Times New Roman" w:eastAsia="Calibri" w:hAnsi="Times New Roman" w:cs="Times New Roman"/>
          <w:noProof/>
          <w:kern w:val="1"/>
          <w:sz w:val="24"/>
          <w:szCs w:val="24"/>
          <w:lang w:val="sq-AL"/>
        </w:rPr>
        <w:t xml:space="preserve">Sipas strukturës së re të Ministrisë së Financave dhe Ekonomisë, e aprovuar me Urdhër të Kryeministrit nr. 161, datë 05.10.2017, e cila hyri në fuqi më 01.01.2018, Drejtoria e Borxhit përbëhet nga dy sektorë me një numër total stafi prej 16 punonjësish. Gjatë vitit 2018, Drejtoria e Borxhit Publik rekrutoi dy punonjës së rinj duke e çuar numrin në 15 </w:t>
      </w:r>
      <w:r w:rsidRPr="00221487">
        <w:rPr>
          <w:rFonts w:ascii="Times New Roman" w:eastAsia="Calibri" w:hAnsi="Times New Roman" w:cs="Times New Roman"/>
          <w:i/>
          <w:noProof/>
          <w:kern w:val="1"/>
          <w:sz w:val="24"/>
          <w:szCs w:val="24"/>
          <w:lang w:val="sq-AL"/>
        </w:rPr>
        <w:t xml:space="preserve">(nga 16 të parashikuar në organigramë) </w:t>
      </w:r>
      <w:r w:rsidRPr="00221487">
        <w:rPr>
          <w:rFonts w:ascii="Times New Roman" w:eastAsia="Calibri" w:hAnsi="Times New Roman" w:cs="Times New Roman"/>
          <w:noProof/>
          <w:kern w:val="1"/>
          <w:sz w:val="24"/>
          <w:szCs w:val="24"/>
          <w:lang w:val="sq-AL"/>
        </w:rPr>
        <w:t xml:space="preserve">ose 94% e forcës punëtore të parashikuar. </w:t>
      </w:r>
    </w:p>
    <w:p w:rsidR="00221487" w:rsidRPr="00221487" w:rsidRDefault="00221487" w:rsidP="00221487">
      <w:pPr>
        <w:spacing w:after="0" w:line="240" w:lineRule="auto"/>
        <w:jc w:val="both"/>
        <w:rPr>
          <w:rFonts w:ascii="Times New Roman" w:eastAsia="Calibri" w:hAnsi="Times New Roman" w:cs="Times New Roman"/>
          <w:noProof/>
          <w:kern w:val="1"/>
          <w:sz w:val="24"/>
          <w:szCs w:val="24"/>
          <w:lang w:val="sq-AL"/>
        </w:rPr>
      </w:pPr>
      <w:r w:rsidRPr="00221487">
        <w:rPr>
          <w:rFonts w:ascii="Times New Roman" w:eastAsia="Calibri" w:hAnsi="Times New Roman" w:cs="Times New Roman"/>
          <w:noProof/>
          <w:kern w:val="1"/>
          <w:sz w:val="24"/>
          <w:szCs w:val="24"/>
          <w:lang w:val="sq-AL"/>
        </w:rPr>
        <w:t xml:space="preserve">Numri i kufizuar i burimeve njerëzore </w:t>
      </w:r>
      <w:r w:rsidRPr="00221487">
        <w:rPr>
          <w:rFonts w:ascii="Times New Roman" w:eastAsia="Calibri" w:hAnsi="Times New Roman" w:cs="Times New Roman"/>
          <w:i/>
          <w:noProof/>
          <w:kern w:val="1"/>
          <w:sz w:val="24"/>
          <w:szCs w:val="24"/>
          <w:lang w:val="sq-AL"/>
        </w:rPr>
        <w:t xml:space="preserve">(kryesisht për shkak të ristrukturimit të Ministrisë së Financave dhe Ekonomisë) krijoi </w:t>
      </w:r>
      <w:r w:rsidRPr="00221487">
        <w:rPr>
          <w:rFonts w:ascii="Times New Roman" w:eastAsia="Calibri" w:hAnsi="Times New Roman" w:cs="Times New Roman"/>
          <w:noProof/>
          <w:kern w:val="1"/>
          <w:sz w:val="24"/>
          <w:szCs w:val="24"/>
          <w:lang w:val="sq-AL"/>
        </w:rPr>
        <w:t xml:space="preserve">risk më të madh operacional, përfshirë mosplotësimin e vendeve vakante për pozicionet drejtuese, duke e bërë kështu edhe më të vështirë procesin vendimmarrës. </w:t>
      </w:r>
    </w:p>
    <w:p w:rsidR="00221487" w:rsidRPr="00221487" w:rsidRDefault="00221487" w:rsidP="00221487">
      <w:pPr>
        <w:spacing w:after="0" w:line="240" w:lineRule="auto"/>
        <w:jc w:val="both"/>
        <w:rPr>
          <w:rFonts w:ascii="Times New Roman" w:eastAsia="Times" w:hAnsi="Times New Roman" w:cs="Times New Roman"/>
          <w:bCs/>
          <w:iCs/>
          <w:noProof/>
          <w:sz w:val="24"/>
          <w:szCs w:val="24"/>
          <w:lang w:val="sq-AL"/>
        </w:rPr>
      </w:pPr>
      <w:r w:rsidRPr="00221487">
        <w:rPr>
          <w:rFonts w:ascii="Times New Roman" w:eastAsia="Times" w:hAnsi="Times New Roman" w:cs="Times New Roman"/>
          <w:bCs/>
          <w:iCs/>
          <w:noProof/>
          <w:sz w:val="24"/>
          <w:szCs w:val="24"/>
          <w:lang w:val="sq-AL"/>
        </w:rPr>
        <w:t xml:space="preserve">Për të menaxhuar riskun efektivisht, huamarrja e brendshme neto u realizua tërësisht nëpërmjet instrumentave afatgjatë dhe në të njëjtën kohë u ul pesha e instrumentëve afatshkurtër në portofolin e borxhit. </w:t>
      </w:r>
    </w:p>
    <w:p w:rsidR="00221487" w:rsidRPr="00221487" w:rsidRDefault="00221487" w:rsidP="00221487">
      <w:pPr>
        <w:spacing w:after="0" w:line="240" w:lineRule="auto"/>
        <w:jc w:val="both"/>
        <w:rPr>
          <w:rFonts w:ascii="Times New Roman" w:eastAsia="Times" w:hAnsi="Times New Roman" w:cs="Times New Roman"/>
          <w:bCs/>
          <w:iCs/>
          <w:noProof/>
          <w:sz w:val="24"/>
          <w:szCs w:val="24"/>
          <w:lang w:val="sq-AL"/>
        </w:rPr>
      </w:pPr>
      <w:r w:rsidRPr="00221487">
        <w:rPr>
          <w:rFonts w:ascii="Times New Roman" w:eastAsia="Times" w:hAnsi="Times New Roman" w:cs="Times New Roman"/>
          <w:bCs/>
          <w:iCs/>
          <w:noProof/>
          <w:sz w:val="24"/>
          <w:szCs w:val="24"/>
          <w:lang w:val="sq-AL"/>
        </w:rPr>
        <w:t xml:space="preserve">Për të mbajtur kostot nën kontroll, u shfrytëzuan normat e ulëta të interesit në tregun vendas dhe kushtet e favorshme të financimit të jashtëm. </w:t>
      </w:r>
    </w:p>
    <w:p w:rsidR="00221487" w:rsidRPr="00221487" w:rsidRDefault="00221487" w:rsidP="00221487">
      <w:pPr>
        <w:spacing w:after="0" w:line="240" w:lineRule="auto"/>
        <w:jc w:val="both"/>
        <w:rPr>
          <w:rFonts w:ascii="Times New Roman" w:eastAsia="Times" w:hAnsi="Times New Roman" w:cs="Times New Roman"/>
          <w:bCs/>
          <w:noProof/>
          <w:sz w:val="24"/>
          <w:szCs w:val="24"/>
          <w:lang w:val="sq-AL"/>
        </w:rPr>
      </w:pPr>
      <w:r w:rsidRPr="00221487">
        <w:rPr>
          <w:rFonts w:ascii="Times New Roman" w:eastAsia="Times" w:hAnsi="Times New Roman" w:cs="Times New Roman"/>
          <w:bCs/>
          <w:iCs/>
          <w:noProof/>
          <w:sz w:val="24"/>
          <w:szCs w:val="24"/>
          <w:lang w:val="sq-AL"/>
        </w:rPr>
        <w:t xml:space="preserve">Që prej vitit 2015, është krijuar një grup i përhershëm pune për përgatitjen e Strategjisë Afatmesme për Menaxhimin e Borxhit, dhe në të ka përfaqësues nga Ministria e Financave dhe Ekonomisë dhe Banka e Shqipërisë. Në vitin 2018, grupi i punës përditësoi Strategjinë Afatmesme për Menaxhimin e Borxhit </w:t>
      </w:r>
      <w:r w:rsidRPr="00221487">
        <w:rPr>
          <w:rFonts w:ascii="Times New Roman" w:eastAsia="Times" w:hAnsi="Times New Roman" w:cs="Times New Roman"/>
          <w:bCs/>
          <w:noProof/>
          <w:sz w:val="24"/>
          <w:szCs w:val="24"/>
          <w:lang w:val="sq-AL"/>
        </w:rPr>
        <w:t xml:space="preserve">2019-2021. SAMB është përditësuar dhe botohet nga MFE-ja çdo vit, bazuar në metodologjitë dhe rekomandimet e institucioneve financiare ndërkombëtare.  </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eastAsia="en-GB"/>
        </w:rPr>
      </w:pPr>
    </w:p>
    <w:p w:rsidR="00221487" w:rsidRPr="00221487" w:rsidRDefault="00221487" w:rsidP="00221487">
      <w:pPr>
        <w:spacing w:after="0" w:line="240" w:lineRule="auto"/>
        <w:rPr>
          <w:rFonts w:ascii="Times New Roman" w:eastAsia="Times" w:hAnsi="Times New Roman" w:cs="Times New Roman"/>
          <w:b/>
          <w:noProof/>
          <w:sz w:val="24"/>
          <w:szCs w:val="24"/>
          <w:lang w:val="sq-AL"/>
        </w:rPr>
      </w:pPr>
      <w:r w:rsidRPr="00221487">
        <w:rPr>
          <w:rFonts w:ascii="Times New Roman" w:eastAsia="Times" w:hAnsi="Times New Roman" w:cs="Times New Roman"/>
          <w:b/>
          <w:noProof/>
          <w:sz w:val="24"/>
          <w:szCs w:val="24"/>
          <w:lang w:val="sq-AL"/>
        </w:rPr>
        <w:t xml:space="preserve"> </w:t>
      </w:r>
      <w:r w:rsidRPr="00221487">
        <w:rPr>
          <w:rFonts w:ascii="Times New Roman" w:hAnsi="Times New Roman" w:cs="Times New Roman"/>
          <w:b/>
          <w:noProof/>
          <w:sz w:val="24"/>
          <w:szCs w:val="24"/>
          <w:lang w:val="sq-AL"/>
        </w:rPr>
        <w:t>Masa 2: Përmirësimi i parashikimit të likuiditetit</w:t>
      </w:r>
      <w:r w:rsidRPr="00221487">
        <w:rPr>
          <w:rFonts w:ascii="Times New Roman" w:eastAsia="Times" w:hAnsi="Times New Roman" w:cs="Times New Roman"/>
          <w:b/>
          <w:noProof/>
          <w:sz w:val="24"/>
          <w:szCs w:val="24"/>
          <w:lang w:val="sq-AL"/>
        </w:rPr>
        <w:t xml:space="preserve"> (në proces/me vonesë)</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eastAsia="en-GB"/>
        </w:rPr>
      </w:pPr>
      <w:r w:rsidRPr="00221487">
        <w:rPr>
          <w:rFonts w:ascii="Times New Roman" w:eastAsia="Times New Roman" w:hAnsi="Times New Roman" w:cs="Times New Roman"/>
          <w:noProof/>
          <w:sz w:val="24"/>
          <w:szCs w:val="24"/>
          <w:lang w:val="sq-AL" w:eastAsia="en-GB"/>
        </w:rPr>
        <w:t>Nuk ka zhvillime të reja për këtë aktivitet.</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eastAsia="en-GB"/>
        </w:rPr>
      </w:pPr>
    </w:p>
    <w:p w:rsidR="00221487" w:rsidRPr="00221487" w:rsidRDefault="00221487" w:rsidP="00221487">
      <w:pPr>
        <w:spacing w:after="0" w:line="240" w:lineRule="auto"/>
        <w:rPr>
          <w:rFonts w:ascii="Times New Roman" w:eastAsia="Times New Roman" w:hAnsi="Times New Roman" w:cs="Times New Roman"/>
          <w:noProof/>
          <w:sz w:val="24"/>
          <w:szCs w:val="24"/>
          <w:lang w:val="sq-AL" w:eastAsia="en-GB"/>
        </w:rPr>
      </w:pPr>
    </w:p>
    <w:p w:rsidR="00221487" w:rsidRPr="00221487" w:rsidRDefault="00221487" w:rsidP="00221487">
      <w:pPr>
        <w:keepNext/>
        <w:numPr>
          <w:ilvl w:val="2"/>
          <w:numId w:val="0"/>
        </w:numPr>
        <w:spacing w:after="0" w:line="240" w:lineRule="auto"/>
        <w:ind w:left="540" w:hanging="153"/>
        <w:jc w:val="both"/>
        <w:outlineLvl w:val="2"/>
        <w:rPr>
          <w:rFonts w:ascii="Times New Roman" w:hAnsi="Times New Roman" w:cs="Times New Roman"/>
          <w:noProof/>
          <w:sz w:val="24"/>
          <w:szCs w:val="24"/>
          <w:lang w:val="sq-AL"/>
        </w:rPr>
      </w:pPr>
      <w:r w:rsidRPr="00221487">
        <w:rPr>
          <w:rFonts w:ascii="Times New Roman" w:eastAsia="Times" w:hAnsi="Times New Roman" w:cs="Times New Roman"/>
          <w:noProof/>
          <w:sz w:val="24"/>
          <w:szCs w:val="24"/>
          <w:lang w:val="sq-AL"/>
        </w:rPr>
        <w:t>Prokurimi Publik</w:t>
      </w:r>
    </w:p>
    <w:tbl>
      <w:tblPr>
        <w:tblW w:w="9427" w:type="dxa"/>
        <w:tblInd w:w="108"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ook w:val="04A0" w:firstRow="1" w:lastRow="0" w:firstColumn="1" w:lastColumn="0" w:noHBand="0" w:noVBand="1"/>
      </w:tblPr>
      <w:tblGrid>
        <w:gridCol w:w="2070"/>
        <w:gridCol w:w="639"/>
        <w:gridCol w:w="1260"/>
        <w:gridCol w:w="261"/>
        <w:gridCol w:w="198"/>
        <w:gridCol w:w="4999"/>
      </w:tblGrid>
      <w:tr w:rsidR="00221487" w:rsidRPr="005B32A4" w:rsidTr="004342D7">
        <w:tc>
          <w:tcPr>
            <w:tcW w:w="9427" w:type="dxa"/>
            <w:gridSpan w:val="6"/>
            <w:tcBorders>
              <w:top w:val="single" w:sz="4" w:space="0" w:color="auto"/>
              <w:left w:val="single" w:sz="4" w:space="0" w:color="auto"/>
              <w:bottom w:val="nil"/>
              <w:right w:val="single" w:sz="4" w:space="0" w:color="auto"/>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t xml:space="preserve">Objektivi </w:t>
            </w:r>
          </w:p>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noProof/>
                <w:sz w:val="24"/>
                <w:szCs w:val="24"/>
                <w:lang w:val="sq-AL"/>
              </w:rPr>
              <w:t xml:space="preserve">Një sistem modern, i shëndoshë dhe efektiv për prokurimin publik dhe koncesionet i harmonizuar me kuadrin ligjor dhe institucional dhe </w:t>
            </w:r>
            <w:r w:rsidRPr="00221487">
              <w:rPr>
                <w:rFonts w:ascii="Times New Roman" w:eastAsia="Times" w:hAnsi="Times New Roman" w:cs="Times New Roman"/>
                <w:i/>
                <w:noProof/>
                <w:sz w:val="24"/>
                <w:szCs w:val="24"/>
                <w:lang w:val="sq-AL"/>
              </w:rPr>
              <w:t>Acquis</w:t>
            </w:r>
            <w:r w:rsidRPr="00221487">
              <w:rPr>
                <w:rFonts w:ascii="Times New Roman" w:eastAsia="Times" w:hAnsi="Times New Roman" w:cs="Times New Roman"/>
                <w:noProof/>
                <w:sz w:val="24"/>
                <w:szCs w:val="24"/>
                <w:lang w:val="sq-AL"/>
              </w:rPr>
              <w:t xml:space="preserve"> dhe standardet e praktikat e mira të BE-së.</w:t>
            </w:r>
            <w:r w:rsidRPr="00221487">
              <w:rPr>
                <w:rFonts w:ascii="Times New Roman" w:eastAsia="Times" w:hAnsi="Times New Roman" w:cs="Times New Roman"/>
                <w:i/>
                <w:noProof/>
                <w:sz w:val="24"/>
                <w:szCs w:val="24"/>
                <w:lang w:val="sq-AL"/>
              </w:rPr>
              <w:t xml:space="preserve"> </w:t>
            </w:r>
          </w:p>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t>Treguesi i rezultatit 1</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Organi shqyrtues i prokurimit publik funksionon me një sistem më të pavarur, transparent, efektiv dhe efikas, i vlerësuar me 3 pikë (nga 5) ose më shumë në raportet e SIGMAs për Matjen e Nivelit Bazë. </w:t>
            </w:r>
          </w:p>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t>Vlera e treguesit</w:t>
            </w:r>
          </w:p>
          <w:p w:rsidR="00221487" w:rsidRPr="00221487" w:rsidRDefault="00221487" w:rsidP="00221487">
            <w:pPr>
              <w:spacing w:after="0" w:line="240" w:lineRule="auto"/>
              <w:jc w:val="both"/>
              <w:rPr>
                <w:rFonts w:ascii="Times New Roman" w:eastAsia="Times" w:hAnsi="Times New Roman" w:cs="Times New Roman"/>
                <w:b/>
                <w:noProof/>
                <w:sz w:val="24"/>
                <w:szCs w:val="24"/>
                <w:lang w:val="sq-AL"/>
              </w:rPr>
            </w:pPr>
            <w:r w:rsidRPr="00221487">
              <w:rPr>
                <w:rFonts w:ascii="Times New Roman" w:eastAsia="Times" w:hAnsi="Times New Roman" w:cs="Times New Roman"/>
                <w:noProof/>
                <w:sz w:val="24"/>
                <w:szCs w:val="24"/>
                <w:lang w:val="sq-AL"/>
              </w:rPr>
              <w:t>Për vlerën e këtij treguesi nuk kishte informacion</w:t>
            </w:r>
            <w:r w:rsidRPr="00221487">
              <w:rPr>
                <w:rFonts w:ascii="Times New Roman" w:eastAsia="Times" w:hAnsi="Times New Roman" w:cs="Times New Roman"/>
                <w:b/>
                <w:noProof/>
                <w:sz w:val="24"/>
                <w:szCs w:val="24"/>
                <w:lang w:val="sq-AL"/>
              </w:rPr>
              <w:t>.</w:t>
            </w:r>
            <w:r w:rsidRPr="00221487">
              <w:rPr>
                <w:rFonts w:ascii="Times New Roman" w:eastAsia="Times" w:hAnsi="Times New Roman" w:cs="Times New Roman"/>
                <w:noProof/>
                <w:sz w:val="24"/>
                <w:szCs w:val="24"/>
                <w:lang w:val="sq-AL"/>
              </w:rPr>
              <w:t xml:space="preserve"> </w:t>
            </w:r>
          </w:p>
        </w:tc>
      </w:tr>
      <w:tr w:rsidR="00221487" w:rsidRPr="00221487" w:rsidTr="004342D7">
        <w:trPr>
          <w:trHeight w:val="261"/>
        </w:trPr>
        <w:tc>
          <w:tcPr>
            <w:tcW w:w="2070" w:type="dxa"/>
            <w:tcBorders>
              <w:top w:val="nil"/>
              <w:left w:val="single" w:sz="4" w:space="0" w:color="auto"/>
              <w:bottom w:val="nil"/>
              <w:right w:val="nil"/>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Vlera bazë (2015)</w:t>
            </w:r>
          </w:p>
        </w:tc>
        <w:tc>
          <w:tcPr>
            <w:tcW w:w="1899" w:type="dxa"/>
            <w:gridSpan w:val="2"/>
            <w:tcBorders>
              <w:top w:val="nil"/>
              <w:left w:val="nil"/>
              <w:bottom w:val="nil"/>
              <w:right w:val="nil"/>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2018</w:t>
            </w:r>
          </w:p>
        </w:tc>
        <w:tc>
          <w:tcPr>
            <w:tcW w:w="5458" w:type="dxa"/>
            <w:gridSpan w:val="3"/>
            <w:tcBorders>
              <w:top w:val="nil"/>
              <w:left w:val="nil"/>
              <w:bottom w:val="nil"/>
              <w:right w:val="single" w:sz="4" w:space="0" w:color="auto"/>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      Synimi 2020 </w:t>
            </w:r>
          </w:p>
        </w:tc>
      </w:tr>
      <w:tr w:rsidR="00221487" w:rsidRPr="00221487" w:rsidTr="004342D7">
        <w:trPr>
          <w:trHeight w:val="198"/>
        </w:trPr>
        <w:tc>
          <w:tcPr>
            <w:tcW w:w="2070" w:type="dxa"/>
            <w:tcBorders>
              <w:top w:val="nil"/>
              <w:left w:val="single" w:sz="4" w:space="0" w:color="auto"/>
              <w:bottom w:val="nil"/>
              <w:right w:val="nil"/>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2</w:t>
            </w:r>
          </w:p>
        </w:tc>
        <w:tc>
          <w:tcPr>
            <w:tcW w:w="1899" w:type="dxa"/>
            <w:gridSpan w:val="2"/>
            <w:tcBorders>
              <w:top w:val="nil"/>
              <w:left w:val="nil"/>
              <w:bottom w:val="nil"/>
              <w:right w:val="nil"/>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NA</w:t>
            </w:r>
          </w:p>
        </w:tc>
        <w:tc>
          <w:tcPr>
            <w:tcW w:w="5458" w:type="dxa"/>
            <w:gridSpan w:val="3"/>
            <w:tcBorders>
              <w:top w:val="nil"/>
              <w:left w:val="nil"/>
              <w:bottom w:val="nil"/>
              <w:right w:val="single" w:sz="4" w:space="0" w:color="auto"/>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    Tendencë në rritje</w:t>
            </w:r>
          </w:p>
        </w:tc>
      </w:tr>
      <w:tr w:rsidR="00221487" w:rsidRPr="00221487" w:rsidTr="004342D7">
        <w:trPr>
          <w:trHeight w:val="198"/>
        </w:trPr>
        <w:tc>
          <w:tcPr>
            <w:tcW w:w="9427" w:type="dxa"/>
            <w:gridSpan w:val="6"/>
            <w:tcBorders>
              <w:top w:val="nil"/>
              <w:left w:val="single" w:sz="4" w:space="0" w:color="auto"/>
              <w:bottom w:val="nil"/>
              <w:right w:val="single" w:sz="4" w:space="0" w:color="auto"/>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t>Treguesi i rezultatit 2</w:t>
            </w:r>
          </w:p>
        </w:tc>
      </w:tr>
      <w:tr w:rsidR="00221487" w:rsidRPr="00221487" w:rsidTr="004342D7">
        <w:trPr>
          <w:trHeight w:val="198"/>
        </w:trPr>
        <w:tc>
          <w:tcPr>
            <w:tcW w:w="9427" w:type="dxa"/>
            <w:gridSpan w:val="6"/>
            <w:tcBorders>
              <w:top w:val="nil"/>
              <w:left w:val="single" w:sz="4" w:space="0" w:color="auto"/>
              <w:bottom w:val="nil"/>
              <w:right w:val="single" w:sz="4" w:space="0" w:color="auto"/>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noProof/>
                <w:sz w:val="24"/>
                <w:szCs w:val="24"/>
                <w:lang w:val="sq-AL"/>
              </w:rPr>
              <w:t>Përqindja e rasteve kur organi shqyrtues tejkalon afatet maksimale ligjore të shqyrtimit është nën 10%</w:t>
            </w:r>
          </w:p>
        </w:tc>
      </w:tr>
      <w:tr w:rsidR="00221487" w:rsidRPr="00221487" w:rsidTr="004342D7">
        <w:trPr>
          <w:trHeight w:val="198"/>
        </w:trPr>
        <w:tc>
          <w:tcPr>
            <w:tcW w:w="9427" w:type="dxa"/>
            <w:gridSpan w:val="6"/>
            <w:tcBorders>
              <w:top w:val="nil"/>
              <w:left w:val="single" w:sz="4" w:space="0" w:color="auto"/>
              <w:bottom w:val="nil"/>
              <w:right w:val="single" w:sz="4" w:space="0" w:color="auto"/>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t>Vlera e treguesit</w:t>
            </w:r>
          </w:p>
        </w:tc>
      </w:tr>
      <w:tr w:rsidR="00221487" w:rsidRPr="005B32A4" w:rsidTr="004342D7">
        <w:trPr>
          <w:trHeight w:val="198"/>
        </w:trPr>
        <w:tc>
          <w:tcPr>
            <w:tcW w:w="9427" w:type="dxa"/>
            <w:gridSpan w:val="6"/>
            <w:tcBorders>
              <w:top w:val="nil"/>
              <w:left w:val="single" w:sz="4" w:space="0" w:color="auto"/>
              <w:bottom w:val="nil"/>
              <w:right w:val="single" w:sz="4" w:space="0" w:color="auto"/>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noProof/>
                <w:sz w:val="24"/>
                <w:szCs w:val="24"/>
                <w:lang w:val="sq-AL"/>
              </w:rPr>
              <w:t xml:space="preserve">Treguesi për vitin 2018 </w:t>
            </w:r>
            <w:r w:rsidRPr="00221487">
              <w:rPr>
                <w:rFonts w:ascii="Times New Roman" w:eastAsia="Times" w:hAnsi="Times New Roman" w:cs="Times New Roman"/>
                <w:b/>
                <w:noProof/>
                <w:sz w:val="24"/>
                <w:szCs w:val="24"/>
                <w:lang w:val="sq-AL"/>
              </w:rPr>
              <w:t xml:space="preserve">u përmbush, </w:t>
            </w:r>
            <w:r w:rsidRPr="00221487">
              <w:rPr>
                <w:rFonts w:ascii="Times New Roman" w:eastAsia="Times" w:hAnsi="Times New Roman" w:cs="Times New Roman"/>
                <w:noProof/>
                <w:sz w:val="24"/>
                <w:szCs w:val="24"/>
                <w:lang w:val="sq-AL"/>
              </w:rPr>
              <w:t xml:space="preserve">pasi u përmirësua krahasuar me vitin 2017. Përqindja e rasteve të shqyrtuara brenda afateve ligjore ka rënë, si rezultat i rritjes së numrit të inspektorëve, menaxhimit më efikas të kohës, dhe reduktimit të numrit të ankesave të pabaza. </w:t>
            </w:r>
          </w:p>
        </w:tc>
      </w:tr>
      <w:tr w:rsidR="00221487" w:rsidRPr="00221487" w:rsidTr="004342D7">
        <w:trPr>
          <w:trHeight w:val="198"/>
        </w:trPr>
        <w:tc>
          <w:tcPr>
            <w:tcW w:w="2709" w:type="dxa"/>
            <w:gridSpan w:val="2"/>
            <w:tcBorders>
              <w:top w:val="nil"/>
              <w:left w:val="single" w:sz="4" w:space="0" w:color="auto"/>
              <w:bottom w:val="nil"/>
              <w:right w:val="nil"/>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Vlera bazë (2013) </w:t>
            </w:r>
          </w:p>
        </w:tc>
        <w:tc>
          <w:tcPr>
            <w:tcW w:w="1719" w:type="dxa"/>
            <w:gridSpan w:val="3"/>
            <w:tcBorders>
              <w:top w:val="nil"/>
              <w:left w:val="nil"/>
              <w:bottom w:val="nil"/>
              <w:right w:val="nil"/>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2018 Vlera</w:t>
            </w:r>
          </w:p>
        </w:tc>
        <w:tc>
          <w:tcPr>
            <w:tcW w:w="4999" w:type="dxa"/>
            <w:tcBorders>
              <w:top w:val="nil"/>
              <w:left w:val="nil"/>
              <w:bottom w:val="nil"/>
              <w:right w:val="single" w:sz="4" w:space="0" w:color="auto"/>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Synimi 2020 </w:t>
            </w:r>
          </w:p>
        </w:tc>
      </w:tr>
      <w:tr w:rsidR="00221487" w:rsidRPr="00221487" w:rsidTr="004342D7">
        <w:trPr>
          <w:trHeight w:val="198"/>
        </w:trPr>
        <w:tc>
          <w:tcPr>
            <w:tcW w:w="2709" w:type="dxa"/>
            <w:gridSpan w:val="2"/>
            <w:tcBorders>
              <w:top w:val="nil"/>
              <w:left w:val="single" w:sz="4" w:space="0" w:color="auto"/>
              <w:bottom w:val="nil"/>
              <w:right w:val="nil"/>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39.6%</w:t>
            </w:r>
          </w:p>
        </w:tc>
        <w:tc>
          <w:tcPr>
            <w:tcW w:w="1521" w:type="dxa"/>
            <w:gridSpan w:val="2"/>
            <w:tcBorders>
              <w:top w:val="nil"/>
              <w:left w:val="nil"/>
              <w:bottom w:val="nil"/>
              <w:right w:val="nil"/>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49%</w:t>
            </w:r>
          </w:p>
        </w:tc>
        <w:tc>
          <w:tcPr>
            <w:tcW w:w="5197" w:type="dxa"/>
            <w:gridSpan w:val="2"/>
            <w:tcBorders>
              <w:top w:val="nil"/>
              <w:left w:val="nil"/>
              <w:bottom w:val="nil"/>
              <w:right w:val="single" w:sz="4" w:space="0" w:color="auto"/>
            </w:tcBorders>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Tendencë në rënie</w:t>
            </w:r>
          </w:p>
        </w:tc>
      </w:tr>
      <w:tr w:rsidR="00221487" w:rsidRPr="00221487" w:rsidTr="004342D7">
        <w:trPr>
          <w:trHeight w:val="198"/>
        </w:trPr>
        <w:tc>
          <w:tcPr>
            <w:tcW w:w="9427" w:type="dxa"/>
            <w:gridSpan w:val="6"/>
            <w:tcBorders>
              <w:top w:val="nil"/>
              <w:left w:val="single" w:sz="4" w:space="0" w:color="auto"/>
              <w:bottom w:val="single" w:sz="4" w:space="0" w:color="auto"/>
              <w:right w:val="single" w:sz="4" w:space="0" w:color="auto"/>
            </w:tcBorders>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p>
        </w:tc>
      </w:tr>
    </w:tbl>
    <w:p w:rsidR="00221487" w:rsidRPr="00221487" w:rsidRDefault="00221487" w:rsidP="00221487">
      <w:pPr>
        <w:spacing w:after="0" w:line="240" w:lineRule="auto"/>
        <w:jc w:val="both"/>
        <w:rPr>
          <w:rFonts w:ascii="Times New Roman" w:eastAsia="Times New Roman" w:hAnsi="Times New Roman" w:cs="Times New Roman"/>
          <w:noProof/>
          <w:sz w:val="24"/>
          <w:szCs w:val="24"/>
          <w:highlight w:val="lightGray"/>
          <w:lang w:val="sq-AL"/>
        </w:rPr>
      </w:pPr>
    </w:p>
    <w:p w:rsidR="00221487" w:rsidRPr="00221487" w:rsidRDefault="00221487" w:rsidP="00221487">
      <w:pPr>
        <w:spacing w:after="0" w:line="240" w:lineRule="auto"/>
        <w:jc w:val="both"/>
        <w:rPr>
          <w:rFonts w:ascii="Times New Roman" w:hAnsi="Times New Roman" w:cs="Times New Roman"/>
          <w:b/>
          <w:noProof/>
          <w:sz w:val="24"/>
          <w:szCs w:val="24"/>
          <w:lang w:val="sq-AL"/>
        </w:rPr>
      </w:pPr>
      <w:r w:rsidRPr="00221487">
        <w:rPr>
          <w:rFonts w:ascii="Times New Roman" w:hAnsi="Times New Roman" w:cs="Times New Roman"/>
          <w:b/>
          <w:noProof/>
          <w:sz w:val="24"/>
          <w:szCs w:val="24"/>
          <w:lang w:val="sq-AL"/>
        </w:rPr>
        <w:t xml:space="preserve">Masa 1: Forcimi i kuadrit ligjor dhe institucional për prokurimin publik </w:t>
      </w:r>
      <w:r w:rsidRPr="00221487">
        <w:rPr>
          <w:rFonts w:ascii="Times New Roman" w:hAnsi="Times New Roman" w:cs="Times New Roman"/>
          <w:b/>
          <w:i/>
          <w:noProof/>
          <w:sz w:val="24"/>
          <w:szCs w:val="24"/>
          <w:lang w:val="sq-AL"/>
        </w:rPr>
        <w:t>(në proces/sipas planit)</w:t>
      </w:r>
    </w:p>
    <w:p w:rsidR="00221487" w:rsidRPr="00221487" w:rsidRDefault="00221487" w:rsidP="00221487">
      <w:pPr>
        <w:spacing w:after="0" w:line="240" w:lineRule="auto"/>
        <w:jc w:val="both"/>
        <w:rPr>
          <w:rFonts w:ascii="Times New Roman" w:hAnsi="Times New Roman" w:cs="Times New Roman"/>
          <w:noProof/>
          <w:sz w:val="24"/>
          <w:szCs w:val="24"/>
          <w:lang w:val="sq-AL"/>
        </w:rPr>
      </w:pPr>
      <w:r w:rsidRPr="00221487">
        <w:rPr>
          <w:rFonts w:ascii="Times New Roman" w:eastAsia="Times New Roman" w:hAnsi="Times New Roman" w:cs="Times New Roman"/>
          <w:noProof/>
          <w:color w:val="000000"/>
          <w:sz w:val="24"/>
          <w:szCs w:val="24"/>
          <w:lang w:val="sq-AL"/>
        </w:rPr>
        <w:t xml:space="preserve">Kryetari i Komisionit të Prokurimit Publik u emërua më 26.02.2018, me Vendim të Kuvendit të Shqipërisë nr. 23/2018, me një mandat pesëvjeçar. Emërimi i anëtarëve të KPP-së u bë me Vendim Kuvendi nr. 78/2018, nr. 79/2018, nr. 80/2018, nr. 81/2018 më 28.06.2018. Komisioni i ri, që është tashmë i pavarur, ka filluar zyrtarisht funksionimin më 16 korrik 2018. Gjithashtu, janë aprovuar buxheti dhe organigrama e re organizative. KPP-ja po punon të përcaktojë kriteret për kategorizimin e ankimimeve në të thjeshta dhe të ndërlikuara si dhe për t’i bërë pjesë të rregullores së brendshme të institucionit. </w:t>
      </w:r>
    </w:p>
    <w:p w:rsidR="00221487" w:rsidRPr="00221487" w:rsidRDefault="00221487" w:rsidP="00221487">
      <w:pPr>
        <w:spacing w:after="0" w:line="240" w:lineRule="auto"/>
        <w:jc w:val="both"/>
        <w:rPr>
          <w:rFonts w:ascii="Times New Roman" w:hAnsi="Times New Roman" w:cs="Times New Roman"/>
          <w:noProof/>
          <w:sz w:val="24"/>
          <w:szCs w:val="24"/>
          <w:lang w:val="sq-AL"/>
        </w:rPr>
      </w:pPr>
      <w:r w:rsidRPr="00221487">
        <w:rPr>
          <w:rFonts w:ascii="Times New Roman" w:hAnsi="Times New Roman" w:cs="Times New Roman"/>
          <w:noProof/>
          <w:sz w:val="24"/>
          <w:szCs w:val="24"/>
          <w:lang w:val="sq-AL"/>
        </w:rPr>
        <w:t xml:space="preserve">Për përmirësimin e legjislacionit për prokurimin dhe përafrimin me direktivën e re të BE-së, është ngritur një grup ndër-institucional pune me Urdhër Krymenistri nr. 129, datë 29.08.2018. Ky GP kryesohet nga APP-ja dhe është i përbërë nga përfaqësues së Ministrisë së Financave dhe Ekonomisë, Ministrisë së Brendshme, Ministrisë së Shëndetësisë dhe Mirëqenies Sociale, Ministrisë së Infrastrukturës dhe Energjisë dhe Ministrisë për Evropën dhe Punët e Jashtme. Qëllimi i këtij grupi pune është të rishikojë ligjet ekzistuese të prokurimit publik dhe shkallën e përafrimit me direktivat 2014/24 dhe 2014/25 për të përcaktuar hapat e radhës për hartimin e ligjit të ri deri në fund të vitit 2019. </w:t>
      </w:r>
    </w:p>
    <w:p w:rsidR="00221487" w:rsidRPr="00221487" w:rsidRDefault="00221487" w:rsidP="00221487">
      <w:pPr>
        <w:spacing w:after="0" w:line="240" w:lineRule="auto"/>
        <w:jc w:val="both"/>
        <w:rPr>
          <w:rFonts w:ascii="Times New Roman" w:hAnsi="Times New Roman" w:cs="Times New Roman"/>
          <w:noProof/>
          <w:sz w:val="24"/>
          <w:szCs w:val="24"/>
          <w:lang w:val="sq-AL"/>
        </w:rPr>
      </w:pPr>
      <w:r w:rsidRPr="00221487">
        <w:rPr>
          <w:rFonts w:ascii="Times New Roman" w:hAnsi="Times New Roman" w:cs="Times New Roman"/>
          <w:noProof/>
          <w:sz w:val="24"/>
          <w:szCs w:val="24"/>
          <w:lang w:val="sq-AL"/>
        </w:rPr>
        <w:t xml:space="preserve">Për transpozimin e direktivës 2009/81 për prokurimet në fushën e mbrojtjes dhe të sigurisë si dhe hartimi i një ligji për këtë qëllim, është ngritur një grup pune me Urdhër Kryeministri nr.128  data 29.08.2018. Ky GP përbëhet nga përfaqësues të Ministrisë së Mbrojtjes (Drejtoria e Përgjithshme e Politikave), Autoriteti Kombëtar i Sigurisë, Shërbimi Informativ Shtetëror dhe Ministria për Evropën dhe Punët e Jashtme. Grupi i punës ka përfunduar draftin, të cilin e publikoi për konsultim publik dhe ia dërgoi për opinion SIGMA-s. Pasi marrjes së komenteve nga SIGMA, drafti është rishikuar dhe është gati t’i dërgohet për komente ministrive të linjës.  </w:t>
      </w:r>
    </w:p>
    <w:p w:rsidR="00221487" w:rsidRPr="00221487" w:rsidRDefault="00221487" w:rsidP="00221487">
      <w:pPr>
        <w:spacing w:after="0" w:line="240" w:lineRule="auto"/>
        <w:jc w:val="both"/>
        <w:rPr>
          <w:rFonts w:ascii="Times New Roman" w:hAnsi="Times New Roman" w:cs="Times New Roman"/>
          <w:noProof/>
          <w:sz w:val="24"/>
          <w:szCs w:val="24"/>
          <w:lang w:val="sq-AL"/>
        </w:rPr>
      </w:pPr>
    </w:p>
    <w:p w:rsidR="00221487" w:rsidRPr="00221487" w:rsidRDefault="00221487" w:rsidP="00221487">
      <w:pPr>
        <w:spacing w:after="0" w:line="240" w:lineRule="auto"/>
        <w:jc w:val="center"/>
        <w:rPr>
          <w:rFonts w:ascii="Times New Roman" w:eastAsia="Times" w:hAnsi="Times New Roman" w:cs="Times New Roman"/>
          <w:b/>
          <w:noProof/>
          <w:sz w:val="24"/>
          <w:szCs w:val="24"/>
          <w:lang w:val="sq-AL"/>
        </w:rPr>
      </w:pPr>
      <w:bookmarkStart w:id="52" w:name="_Toc507758754"/>
    </w:p>
    <w:p w:rsidR="00221487" w:rsidRPr="00221487" w:rsidRDefault="00221487" w:rsidP="00221487">
      <w:pPr>
        <w:keepNext/>
        <w:numPr>
          <w:ilvl w:val="2"/>
          <w:numId w:val="0"/>
        </w:numPr>
        <w:spacing w:after="0" w:line="240" w:lineRule="auto"/>
        <w:ind w:left="1170" w:hanging="720"/>
        <w:jc w:val="both"/>
        <w:outlineLvl w:val="2"/>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Menaxhimi i aseteve</w:t>
      </w:r>
    </w:p>
    <w:tbl>
      <w:tblPr>
        <w:tblW w:w="0" w:type="auto"/>
        <w:tblInd w:w="108"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ook w:val="04A0" w:firstRow="1" w:lastRow="0" w:firstColumn="1" w:lastColumn="0" w:noHBand="0" w:noVBand="1"/>
      </w:tblPr>
      <w:tblGrid>
        <w:gridCol w:w="1890"/>
        <w:gridCol w:w="2442"/>
        <w:gridCol w:w="5095"/>
      </w:tblGrid>
      <w:tr w:rsidR="00221487" w:rsidRPr="005B32A4" w:rsidTr="004342D7">
        <w:tc>
          <w:tcPr>
            <w:tcW w:w="9427" w:type="dxa"/>
            <w:gridSpan w:val="3"/>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t xml:space="preserve">Objektivi </w:t>
            </w:r>
          </w:p>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noProof/>
                <w:sz w:val="24"/>
                <w:szCs w:val="24"/>
                <w:lang w:val="sq-AL"/>
              </w:rPr>
              <w:t>Përfundimi i regjistrit të aseteve duke përfshirë vlerat dhe rregullat e zhvlerësimit sipas standardeve kombëtare.</w:t>
            </w:r>
            <w:r w:rsidRPr="00221487">
              <w:rPr>
                <w:rFonts w:ascii="Times New Roman" w:eastAsia="Times" w:hAnsi="Times New Roman" w:cs="Times New Roman"/>
                <w:i/>
                <w:noProof/>
                <w:sz w:val="24"/>
                <w:szCs w:val="24"/>
                <w:lang w:val="sq-AL"/>
              </w:rPr>
              <w:t xml:space="preserve"> </w:t>
            </w:r>
          </w:p>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t>Treguesi i rezultatit</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Asetet publike regjistrohen në SIFQ për të paktën 5 Institucione Buxhetore. </w:t>
            </w:r>
          </w:p>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t>Vlera e treguesit</w:t>
            </w:r>
          </w:p>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noProof/>
                <w:sz w:val="24"/>
                <w:szCs w:val="24"/>
                <w:lang w:val="sq-AL"/>
              </w:rPr>
              <w:t xml:space="preserve">Treguesi </w:t>
            </w:r>
            <w:r w:rsidRPr="00221487">
              <w:rPr>
                <w:rFonts w:ascii="Times New Roman" w:eastAsia="Times" w:hAnsi="Times New Roman" w:cs="Times New Roman"/>
                <w:b/>
                <w:noProof/>
                <w:sz w:val="24"/>
                <w:szCs w:val="24"/>
                <w:lang w:val="sq-AL"/>
              </w:rPr>
              <w:t>u përmbush</w:t>
            </w:r>
            <w:r w:rsidRPr="00221487">
              <w:rPr>
                <w:rFonts w:ascii="Times New Roman" w:eastAsia="Times" w:hAnsi="Times New Roman" w:cs="Times New Roman"/>
                <w:noProof/>
                <w:sz w:val="24"/>
                <w:szCs w:val="24"/>
                <w:lang w:val="sq-AL"/>
              </w:rPr>
              <w:t>, pasi asetet janë regjistruar në SIFQ për 6 Institucione Buxhetore duke tejkaluar synimin për vitin 2020.</w:t>
            </w:r>
          </w:p>
        </w:tc>
      </w:tr>
      <w:tr w:rsidR="00221487" w:rsidRPr="00221487" w:rsidTr="004342D7">
        <w:trPr>
          <w:trHeight w:val="378"/>
        </w:trPr>
        <w:tc>
          <w:tcPr>
            <w:tcW w:w="1890" w:type="dxa"/>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Vlera bazë (2014)</w:t>
            </w:r>
          </w:p>
        </w:tc>
        <w:tc>
          <w:tcPr>
            <w:tcW w:w="2442" w:type="dxa"/>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2018</w:t>
            </w:r>
          </w:p>
        </w:tc>
        <w:tc>
          <w:tcPr>
            <w:tcW w:w="5095" w:type="dxa"/>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Synimi 2020</w:t>
            </w:r>
          </w:p>
        </w:tc>
      </w:tr>
      <w:tr w:rsidR="00221487" w:rsidRPr="00221487" w:rsidTr="004342D7">
        <w:trPr>
          <w:trHeight w:val="198"/>
        </w:trPr>
        <w:tc>
          <w:tcPr>
            <w:tcW w:w="1890" w:type="dxa"/>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0</w:t>
            </w:r>
          </w:p>
        </w:tc>
        <w:tc>
          <w:tcPr>
            <w:tcW w:w="2442" w:type="dxa"/>
            <w:shd w:val="clear" w:color="auto" w:fill="D9D9D9" w:themeFill="background1" w:themeFillShade="D9"/>
            <w:hideMark/>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6</w:t>
            </w:r>
          </w:p>
        </w:tc>
        <w:tc>
          <w:tcPr>
            <w:tcW w:w="5095" w:type="dxa"/>
            <w:shd w:val="clear" w:color="auto" w:fill="D9D9D9" w:themeFill="background1" w:themeFillShade="D9"/>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 5</w:t>
            </w:r>
          </w:p>
        </w:tc>
      </w:tr>
    </w:tbl>
    <w:p w:rsidR="00221487" w:rsidRPr="00221487" w:rsidRDefault="00221487" w:rsidP="00221487">
      <w:pPr>
        <w:spacing w:after="0" w:line="240" w:lineRule="auto"/>
        <w:jc w:val="both"/>
        <w:rPr>
          <w:rFonts w:ascii="Times New Roman" w:eastAsia="Times" w:hAnsi="Times New Roman" w:cs="Times New Roman"/>
          <w:noProof/>
          <w:sz w:val="24"/>
          <w:szCs w:val="24"/>
          <w:highlight w:val="yellow"/>
          <w:lang w:val="sq-AL"/>
        </w:rPr>
      </w:pPr>
    </w:p>
    <w:p w:rsidR="00221487" w:rsidRPr="00221487" w:rsidRDefault="00221487" w:rsidP="00221487">
      <w:pPr>
        <w:spacing w:after="0" w:line="240" w:lineRule="auto"/>
        <w:jc w:val="both"/>
        <w:rPr>
          <w:rFonts w:ascii="Times New Roman" w:eastAsia="Times New Roman" w:hAnsi="Times New Roman" w:cs="Times New Roman"/>
          <w:b/>
          <w:noProof/>
          <w:sz w:val="24"/>
          <w:szCs w:val="24"/>
          <w:lang w:val="sq-AL"/>
        </w:rPr>
      </w:pPr>
      <w:r w:rsidRPr="00221487">
        <w:rPr>
          <w:rFonts w:ascii="Times New Roman" w:eastAsia="Times New Roman" w:hAnsi="Times New Roman" w:cs="Times New Roman"/>
          <w:b/>
          <w:noProof/>
          <w:sz w:val="24"/>
          <w:szCs w:val="24"/>
          <w:lang w:val="sq-AL"/>
        </w:rPr>
        <w:t>Masa 1. Përgatitja e metodologjisë dhe planit të veprimit. (</w:t>
      </w:r>
      <w:r w:rsidRPr="00221487">
        <w:rPr>
          <w:rFonts w:ascii="Times New Roman" w:eastAsia="Times New Roman" w:hAnsi="Times New Roman" w:cs="Times New Roman"/>
          <w:b/>
          <w:i/>
          <w:noProof/>
          <w:sz w:val="24"/>
          <w:szCs w:val="24"/>
          <w:lang w:val="sq-AL"/>
        </w:rPr>
        <w:t>në proces/ sipas planit)</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eastAsia="en-GB"/>
        </w:rPr>
      </w:pP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eastAsia="en-GB"/>
        </w:rPr>
      </w:pPr>
      <w:r w:rsidRPr="00221487">
        <w:rPr>
          <w:rFonts w:ascii="Times New Roman" w:eastAsia="Times New Roman" w:hAnsi="Times New Roman" w:cs="Times New Roman"/>
          <w:noProof/>
          <w:sz w:val="24"/>
          <w:szCs w:val="24"/>
          <w:lang w:val="sq-AL" w:eastAsia="en-GB"/>
        </w:rPr>
        <w:t xml:space="preserve">Gjatë vitit 2018 nisi projekti i Bankës Botërore për zbatimin e IPSAS, pjesë e të cilit është komponenti i administrimit të aseteve. Në muajin nëntor, u mbajt takimi i Komitetit Drejtues me pjesëmarrjen e grupit të zbatimit të projektit, aktorë të tjerë dhe ekspertë të projektit në misionin e parë në Shqipëri. Gjithashtu, u mbajtën disa takime me palët kryesore të interesit, përfshirë takimet me ministritë e linjës, për të evidentuar sfidat që duhet të adresohen në planin e veprimit për zbatimin e IPSAS. Gjithashtu, ekspertët hartuan Raportin Fillestar për objektivat dhe aktivitetet kryesore që do të zhvillohen në të ardhmen. </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eastAsia="en-GB"/>
        </w:rPr>
      </w:pPr>
      <w:r w:rsidRPr="00221487">
        <w:rPr>
          <w:rFonts w:ascii="Times New Roman" w:eastAsia="Times New Roman" w:hAnsi="Times New Roman" w:cs="Times New Roman"/>
          <w:noProof/>
          <w:sz w:val="24"/>
          <w:szCs w:val="24"/>
          <w:lang w:val="sq-AL" w:eastAsia="en-GB"/>
        </w:rPr>
        <w:t>Gjatë vitit 2019, do të hartohet, aprovohet dhe zbatohet Plani i Veprimit Strategjik për Vendin.</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eastAsia="en-GB"/>
        </w:rPr>
      </w:pPr>
    </w:p>
    <w:p w:rsidR="00221487" w:rsidRPr="00221487" w:rsidRDefault="00221487" w:rsidP="00221487">
      <w:pPr>
        <w:spacing w:after="0" w:line="240" w:lineRule="auto"/>
        <w:jc w:val="both"/>
        <w:rPr>
          <w:rFonts w:ascii="Times New Roman" w:eastAsia="Times" w:hAnsi="Times New Roman" w:cs="Times New Roman"/>
          <w:b/>
          <w:noProof/>
          <w:sz w:val="24"/>
          <w:szCs w:val="24"/>
          <w:lang w:val="sq-AL"/>
        </w:rPr>
      </w:pPr>
      <w:r w:rsidRPr="00221487">
        <w:rPr>
          <w:rFonts w:ascii="Times New Roman" w:eastAsia="Times" w:hAnsi="Times New Roman" w:cs="Times New Roman"/>
          <w:b/>
          <w:noProof/>
          <w:sz w:val="24"/>
          <w:szCs w:val="24"/>
          <w:lang w:val="sq-AL"/>
        </w:rPr>
        <w:t>Masa 2. Nisja dhe përfundimi i i procesit të inventarizimit të plotë të pronave publike në institucionet e</w:t>
      </w:r>
    </w:p>
    <w:p w:rsidR="00221487" w:rsidRPr="00221487" w:rsidRDefault="00221487" w:rsidP="00221487">
      <w:pPr>
        <w:spacing w:after="0" w:line="240" w:lineRule="auto"/>
        <w:jc w:val="both"/>
        <w:rPr>
          <w:rFonts w:ascii="Times New Roman" w:eastAsia="Times" w:hAnsi="Times New Roman" w:cs="Times New Roman"/>
          <w:b/>
          <w:noProof/>
          <w:sz w:val="24"/>
          <w:szCs w:val="24"/>
          <w:lang w:val="sq-AL"/>
        </w:rPr>
      </w:pPr>
      <w:r w:rsidRPr="00221487">
        <w:rPr>
          <w:rFonts w:ascii="Times New Roman" w:eastAsia="Times" w:hAnsi="Times New Roman" w:cs="Times New Roman"/>
          <w:b/>
          <w:noProof/>
          <w:sz w:val="24"/>
          <w:szCs w:val="24"/>
          <w:lang w:val="sq-AL"/>
        </w:rPr>
        <w:t xml:space="preserve">qeverisjes së përgjithshme.  </w:t>
      </w:r>
      <w:r w:rsidRPr="00221487">
        <w:rPr>
          <w:rFonts w:ascii="Times New Roman" w:eastAsia="Times New Roman" w:hAnsi="Times New Roman" w:cs="Times New Roman"/>
          <w:b/>
          <w:i/>
          <w:noProof/>
          <w:sz w:val="24"/>
          <w:szCs w:val="24"/>
          <w:lang w:val="sq-AL"/>
        </w:rPr>
        <w:t>(në proces/ sipas planit)</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eastAsia="en-GB"/>
        </w:rPr>
      </w:pPr>
      <w:r w:rsidRPr="00221487">
        <w:rPr>
          <w:rFonts w:ascii="Times New Roman" w:eastAsia="Times New Roman" w:hAnsi="Times New Roman" w:cs="Times New Roman"/>
          <w:noProof/>
          <w:sz w:val="24"/>
          <w:szCs w:val="24"/>
          <w:lang w:val="sq-AL" w:eastAsia="en-GB"/>
        </w:rPr>
        <w:t>Nuk ka zhvillime të reja për këtë aktivitet.</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p>
    <w:p w:rsidR="00221487" w:rsidRPr="00221487" w:rsidRDefault="00221487" w:rsidP="007C6F79">
      <w:pPr>
        <w:keepNext/>
        <w:numPr>
          <w:ilvl w:val="1"/>
          <w:numId w:val="22"/>
        </w:numPr>
        <w:spacing w:after="0" w:line="240" w:lineRule="auto"/>
        <w:jc w:val="both"/>
        <w:outlineLvl w:val="1"/>
        <w:rPr>
          <w:rFonts w:ascii="Times New Roman" w:eastAsia="Times" w:hAnsi="Times New Roman" w:cs="Times New Roman"/>
          <w:b/>
          <w:bCs/>
          <w:noProof/>
          <w:sz w:val="24"/>
          <w:szCs w:val="24"/>
          <w:lang w:val="sq-AL"/>
        </w:rPr>
      </w:pPr>
      <w:bookmarkStart w:id="53" w:name="_Toc507758749"/>
      <w:bookmarkStart w:id="54" w:name="_Toc511836608"/>
      <w:bookmarkStart w:id="55" w:name="_Toc3984479"/>
      <w:r w:rsidRPr="00221487">
        <w:rPr>
          <w:rFonts w:ascii="Times New Roman" w:eastAsia="Times" w:hAnsi="Times New Roman" w:cs="Times New Roman"/>
          <w:b/>
          <w:bCs/>
          <w:noProof/>
          <w:sz w:val="24"/>
          <w:szCs w:val="24"/>
          <w:lang w:val="sq-AL"/>
        </w:rPr>
        <w:t xml:space="preserve">Shtylla 4- Raportimi </w:t>
      </w:r>
      <w:bookmarkEnd w:id="53"/>
      <w:bookmarkEnd w:id="54"/>
      <w:bookmarkEnd w:id="55"/>
      <w:r w:rsidRPr="00221487">
        <w:rPr>
          <w:rFonts w:ascii="Times New Roman" w:eastAsia="Times" w:hAnsi="Times New Roman" w:cs="Times New Roman"/>
          <w:b/>
          <w:bCs/>
          <w:noProof/>
          <w:sz w:val="24"/>
          <w:szCs w:val="24"/>
          <w:lang w:val="sq-AL"/>
        </w:rPr>
        <w:t xml:space="preserve">qeveritar transparent </w:t>
      </w:r>
    </w:p>
    <w:p w:rsidR="00221487" w:rsidRPr="00221487" w:rsidRDefault="00221487" w:rsidP="00221487">
      <w:pPr>
        <w:spacing w:after="0" w:line="240" w:lineRule="auto"/>
        <w:ind w:left="720"/>
        <w:contextualSpacing/>
        <w:jc w:val="both"/>
        <w:rPr>
          <w:rFonts w:ascii="Times New Roman" w:eastAsia="Times New Roman" w:hAnsi="Times New Roman" w:cs="Times New Roman"/>
          <w:noProof/>
          <w:sz w:val="24"/>
          <w:szCs w:val="24"/>
          <w:lang w:val="sq-AL"/>
        </w:rPr>
      </w:pPr>
    </w:p>
    <w:p w:rsidR="00221487" w:rsidRPr="00221487" w:rsidRDefault="00221487" w:rsidP="007C6F79">
      <w:pPr>
        <w:keepNext/>
        <w:numPr>
          <w:ilvl w:val="2"/>
          <w:numId w:val="22"/>
        </w:numPr>
        <w:spacing w:after="0" w:line="240" w:lineRule="auto"/>
        <w:jc w:val="both"/>
        <w:outlineLvl w:val="2"/>
        <w:rPr>
          <w:rFonts w:ascii="Times New Roman" w:eastAsia="Times New Roman" w:hAnsi="Times New Roman" w:cs="Times New Roman"/>
          <w:noProof/>
          <w:sz w:val="24"/>
          <w:szCs w:val="24"/>
          <w:lang w:val="sq-AL"/>
        </w:rPr>
      </w:pPr>
      <w:bookmarkStart w:id="56" w:name="_Toc3984191"/>
      <w:bookmarkStart w:id="57" w:name="_Toc3984480"/>
      <w:r w:rsidRPr="00221487">
        <w:rPr>
          <w:rFonts w:ascii="Times New Roman" w:eastAsia="Times New Roman" w:hAnsi="Times New Roman" w:cs="Times New Roman"/>
          <w:noProof/>
          <w:sz w:val="24"/>
          <w:szCs w:val="24"/>
          <w:lang w:val="sq-AL"/>
        </w:rPr>
        <w:t>Përmbledhje e progresit të Shtyllës 4</w:t>
      </w:r>
      <w:bookmarkEnd w:id="56"/>
      <w:bookmarkEnd w:id="57"/>
      <w:r w:rsidRPr="00221487">
        <w:rPr>
          <w:rFonts w:ascii="Times New Roman" w:eastAsia="Times New Roman" w:hAnsi="Times New Roman" w:cs="Times New Roman"/>
          <w:noProof/>
          <w:sz w:val="24"/>
          <w:szCs w:val="24"/>
          <w:lang w:val="sq-AL"/>
        </w:rPr>
        <w:t xml:space="preserve"> </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p>
    <w:p w:rsidR="00221487" w:rsidRPr="00221487" w:rsidRDefault="00221487" w:rsidP="00221487">
      <w:pPr>
        <w:spacing w:after="0"/>
        <w:jc w:val="both"/>
        <w:rPr>
          <w:rFonts w:ascii="Times New Roman" w:eastAsia="Times" w:hAnsi="Times New Roman" w:cs="Times New Roman"/>
          <w:noProof/>
          <w:sz w:val="24"/>
          <w:szCs w:val="24"/>
          <w:lang w:val="sq-AL"/>
        </w:rPr>
      </w:pPr>
      <w:r w:rsidRPr="00221487">
        <w:rPr>
          <w:rFonts w:ascii="Times New Roman" w:eastAsia="Times New Roman" w:hAnsi="Times New Roman" w:cs="Times New Roman"/>
          <w:b/>
          <w:noProof/>
          <w:sz w:val="24"/>
          <w:szCs w:val="24"/>
          <w:lang w:val="sq-AL"/>
        </w:rPr>
        <w:t>Objektivi 1</w:t>
      </w:r>
      <w:r w:rsidRPr="00221487">
        <w:rPr>
          <w:rFonts w:ascii="Times New Roman" w:eastAsia="Times New Roman" w:hAnsi="Times New Roman" w:cs="Times New Roman"/>
          <w:noProof/>
          <w:sz w:val="24"/>
          <w:szCs w:val="24"/>
          <w:lang w:val="sq-AL"/>
        </w:rPr>
        <w:t xml:space="preserve"> i Shtyllës 4, i cili është dhe objektivi i vetëm, është “</w:t>
      </w:r>
      <w:r w:rsidRPr="00221487">
        <w:rPr>
          <w:rFonts w:ascii="Times New Roman" w:eastAsia="Times" w:hAnsi="Times New Roman" w:cs="Times New Roman"/>
          <w:i/>
          <w:noProof/>
          <w:sz w:val="24"/>
          <w:szCs w:val="24"/>
          <w:lang w:val="sq-AL"/>
        </w:rPr>
        <w:t xml:space="preserve">Kontabiliteti dhe raportimi kryhen në përputhje me Standardet Ndërkombëtare të Kontabilitetit në fushën e Sektorit Publik </w:t>
      </w:r>
      <w:r w:rsidRPr="00221487">
        <w:rPr>
          <w:rFonts w:ascii="Times New Roman" w:eastAsia="Times" w:hAnsi="Times New Roman" w:cs="Times New Roman"/>
          <w:noProof/>
          <w:sz w:val="24"/>
          <w:szCs w:val="24"/>
          <w:lang w:val="sq-AL"/>
        </w:rPr>
        <w:t>(</w:t>
      </w:r>
      <w:r w:rsidRPr="00221487">
        <w:rPr>
          <w:rFonts w:ascii="Times New Roman" w:eastAsia="Times" w:hAnsi="Times New Roman" w:cs="Times New Roman"/>
          <w:i/>
          <w:noProof/>
          <w:sz w:val="24"/>
          <w:szCs w:val="24"/>
          <w:lang w:val="sq-AL"/>
        </w:rPr>
        <w:t>IPSAS). Përmirësimi i standardeve të raportimit financiar dhe cilësisë së raportimit financiar nëpërmjet rritjes së kapaciteteve profesionale dhe infrastrukturës së TI-së</w:t>
      </w:r>
      <w:r w:rsidRPr="00221487">
        <w:rPr>
          <w:rFonts w:ascii="Times New Roman" w:eastAsia="Times" w:hAnsi="Times New Roman" w:cs="Times New Roman"/>
          <w:noProof/>
          <w:sz w:val="24"/>
          <w:szCs w:val="24"/>
          <w:lang w:val="sq-AL"/>
        </w:rPr>
        <w:t>” dhe shoqërohet me dy tregues rezultati. Treguesi i rezultatit 1: “</w:t>
      </w:r>
      <w:r w:rsidRPr="00221487">
        <w:rPr>
          <w:rFonts w:ascii="Times New Roman" w:eastAsia="Times" w:hAnsi="Times New Roman" w:cs="Times New Roman"/>
          <w:i/>
          <w:noProof/>
          <w:sz w:val="24"/>
          <w:szCs w:val="24"/>
          <w:lang w:val="sq-AL"/>
        </w:rPr>
        <w:t>Njëqind Institucione Buxhetore të qeverisjes së përgjithshme do të ekzekutojnë buxhetin dhe do të kryejnë raportimin financiar nëpërmjet</w:t>
      </w:r>
      <w:r w:rsidRPr="00221487">
        <w:rPr>
          <w:rFonts w:ascii="Times New Roman" w:eastAsia="Times" w:hAnsi="Times New Roman" w:cs="Times New Roman"/>
          <w:noProof/>
          <w:sz w:val="24"/>
          <w:szCs w:val="24"/>
          <w:lang w:val="sq-AL"/>
        </w:rPr>
        <w:t xml:space="preserve"> </w:t>
      </w:r>
      <w:r w:rsidRPr="00221487">
        <w:rPr>
          <w:rFonts w:ascii="Times New Roman" w:eastAsia="Times" w:hAnsi="Times New Roman" w:cs="Times New Roman"/>
          <w:i/>
          <w:noProof/>
          <w:sz w:val="24"/>
          <w:szCs w:val="24"/>
          <w:lang w:val="sq-AL"/>
        </w:rPr>
        <w:t>SIFQ deri në vitin 2020</w:t>
      </w:r>
      <w:r w:rsidRPr="00221487">
        <w:rPr>
          <w:rFonts w:ascii="Times New Roman" w:eastAsia="Times" w:hAnsi="Times New Roman" w:cs="Times New Roman"/>
          <w:noProof/>
          <w:sz w:val="24"/>
          <w:szCs w:val="24"/>
          <w:lang w:val="sq-AL"/>
        </w:rPr>
        <w:t>”: nuk u përmbush, dhe dy vlerat e synuara shfaqën tendencë në rënie dhe njëra mbeti e njëjtë krahasuar me vlerën e vitit</w:t>
      </w:r>
      <w:r w:rsidRPr="00221487">
        <w:rPr>
          <w:rFonts w:ascii="Times New Roman" w:eastAsia="Times" w:hAnsi="Times New Roman" w:cs="Times New Roman"/>
          <w:b/>
          <w:noProof/>
          <w:sz w:val="24"/>
          <w:szCs w:val="24"/>
          <w:lang w:val="sq-AL"/>
        </w:rPr>
        <w:t xml:space="preserve"> </w:t>
      </w:r>
      <w:r w:rsidRPr="00221487">
        <w:rPr>
          <w:rFonts w:ascii="Times New Roman" w:eastAsia="Times" w:hAnsi="Times New Roman" w:cs="Times New Roman"/>
          <w:noProof/>
          <w:sz w:val="24"/>
          <w:szCs w:val="24"/>
          <w:lang w:val="sq-AL"/>
        </w:rPr>
        <w:t>2017. Treguesi i rezultatit 2: “</w:t>
      </w:r>
      <w:r w:rsidRPr="00221487">
        <w:rPr>
          <w:rFonts w:ascii="Times New Roman" w:eastAsia="Times" w:hAnsi="Times New Roman" w:cs="Times New Roman"/>
          <w:i/>
          <w:noProof/>
          <w:sz w:val="24"/>
          <w:szCs w:val="24"/>
          <w:lang w:val="sq-AL"/>
        </w:rPr>
        <w:t xml:space="preserve">Paraqitja e pasqyrave financire sipas kuadrit IPSAS” </w:t>
      </w:r>
      <w:r w:rsidRPr="00221487">
        <w:rPr>
          <w:rFonts w:ascii="Times New Roman" w:eastAsia="Times" w:hAnsi="Times New Roman" w:cs="Times New Roman"/>
          <w:b/>
          <w:noProof/>
          <w:sz w:val="24"/>
          <w:szCs w:val="24"/>
          <w:lang w:val="sq-AL"/>
        </w:rPr>
        <w:t>nuk u përmbush</w:t>
      </w:r>
      <w:r w:rsidRPr="00221487">
        <w:rPr>
          <w:rFonts w:ascii="Times New Roman" w:eastAsia="Times" w:hAnsi="Times New Roman" w:cs="Times New Roman"/>
          <w:noProof/>
          <w:sz w:val="24"/>
          <w:szCs w:val="24"/>
          <w:lang w:val="sq-AL"/>
        </w:rPr>
        <w:t xml:space="preserve">, për projekti i financiar nga SECO  </w:t>
      </w:r>
      <w:r w:rsidRPr="00221487">
        <w:rPr>
          <w:rFonts w:ascii="Times New Roman" w:eastAsia="Times New Roman" w:hAnsi="Times New Roman" w:cs="Times New Roman"/>
          <w:noProof/>
          <w:sz w:val="24"/>
          <w:szCs w:val="24"/>
          <w:lang w:val="sq-AL"/>
        </w:rPr>
        <w:t xml:space="preserve">“Zhvillimi i Kontabilitetit në Sektorin Publik” i zbatuar nga MFE-ja dhe BB-ja, ka filluar më </w:t>
      </w:r>
      <w:r w:rsidRPr="00221487">
        <w:rPr>
          <w:rFonts w:ascii="Times New Roman" w:eastAsia="Times" w:hAnsi="Times New Roman" w:cs="Times New Roman"/>
          <w:noProof/>
          <w:sz w:val="24"/>
          <w:szCs w:val="24"/>
          <w:lang w:val="sq-AL"/>
        </w:rPr>
        <w:t xml:space="preserve">17.05.2018 dhe është parashikuar të ketë progres në vitin 2019. </w:t>
      </w:r>
    </w:p>
    <w:p w:rsidR="00221487" w:rsidRPr="00221487" w:rsidRDefault="00221487" w:rsidP="00221487">
      <w:pPr>
        <w:spacing w:after="0"/>
        <w:jc w:val="both"/>
        <w:rPr>
          <w:rFonts w:ascii="Times New Roman" w:eastAsia="Times New Roman" w:hAnsi="Times New Roman" w:cs="Times New Roman"/>
          <w:bCs/>
          <w:noProof/>
          <w:sz w:val="24"/>
          <w:szCs w:val="24"/>
          <w:lang w:val="sq-AL"/>
        </w:rPr>
      </w:pPr>
      <w:r w:rsidRPr="00221487">
        <w:rPr>
          <w:rFonts w:ascii="Times New Roman" w:eastAsia="Times" w:hAnsi="Times New Roman" w:cs="Times New Roman"/>
          <w:noProof/>
          <w:sz w:val="24"/>
          <w:szCs w:val="24"/>
          <w:lang w:val="sq-AL"/>
        </w:rPr>
        <w:lastRenderedPageBreak/>
        <w:t xml:space="preserve">Përmirësimet në këtë Shtyllë janë: </w:t>
      </w:r>
      <w:r w:rsidRPr="00221487">
        <w:rPr>
          <w:rFonts w:ascii="Times New Roman" w:eastAsia="Times" w:hAnsi="Times New Roman" w:cs="Times New Roman"/>
          <w:b/>
          <w:noProof/>
          <w:sz w:val="24"/>
          <w:szCs w:val="24"/>
          <w:lang w:val="sq-AL"/>
        </w:rPr>
        <w:t>a)</w:t>
      </w:r>
      <w:r w:rsidRPr="00221487">
        <w:rPr>
          <w:rFonts w:ascii="Times New Roman" w:eastAsia="Times" w:hAnsi="Times New Roman" w:cs="Times New Roman"/>
          <w:noProof/>
          <w:sz w:val="24"/>
          <w:szCs w:val="24"/>
          <w:lang w:val="sq-AL"/>
        </w:rPr>
        <w:t xml:space="preserve"> projekti i financuar nga </w:t>
      </w:r>
      <w:r w:rsidRPr="00221487">
        <w:rPr>
          <w:rFonts w:ascii="Times New Roman" w:eastAsia="Times New Roman" w:hAnsi="Times New Roman" w:cs="Times New Roman"/>
          <w:noProof/>
          <w:sz w:val="24"/>
          <w:szCs w:val="24"/>
          <w:lang w:val="sq-AL"/>
        </w:rPr>
        <w:t>SECO “Zhvillimi i Kontabilitetit në Sektorin Publik” filloi më</w:t>
      </w:r>
      <w:r w:rsidRPr="00221487">
        <w:rPr>
          <w:rFonts w:ascii="Times New Roman" w:eastAsia="Times" w:hAnsi="Times New Roman" w:cs="Times New Roman"/>
          <w:noProof/>
          <w:sz w:val="24"/>
          <w:szCs w:val="24"/>
          <w:lang w:val="sq-AL"/>
        </w:rPr>
        <w:t xml:space="preserve"> 17.05.2018; </w:t>
      </w:r>
      <w:r w:rsidRPr="00221487">
        <w:rPr>
          <w:rFonts w:ascii="Times New Roman" w:eastAsia="Times" w:hAnsi="Times New Roman" w:cs="Times New Roman"/>
          <w:b/>
          <w:noProof/>
          <w:sz w:val="24"/>
          <w:szCs w:val="24"/>
          <w:lang w:val="sq-AL"/>
        </w:rPr>
        <w:t>b)</w:t>
      </w:r>
      <w:r w:rsidRPr="00221487">
        <w:rPr>
          <w:rFonts w:ascii="Times New Roman" w:eastAsia="Times New Roman" w:hAnsi="Times New Roman" w:cs="Times New Roman"/>
          <w:noProof/>
          <w:sz w:val="24"/>
          <w:szCs w:val="24"/>
          <w:lang w:val="sq-AL"/>
        </w:rPr>
        <w:t xml:space="preserve"> Aplikacioni Boost gjendet në faqen e internetit të MFE që prej prillit 2018; </w:t>
      </w:r>
      <w:r w:rsidRPr="00221487">
        <w:rPr>
          <w:rFonts w:ascii="Times New Roman" w:eastAsia="Times New Roman" w:hAnsi="Times New Roman" w:cs="Times New Roman"/>
          <w:b/>
          <w:noProof/>
          <w:sz w:val="24"/>
          <w:szCs w:val="24"/>
          <w:lang w:val="sq-AL"/>
        </w:rPr>
        <w:t>c)</w:t>
      </w:r>
      <w:r w:rsidRPr="00221487">
        <w:rPr>
          <w:rFonts w:ascii="Times New Roman" w:eastAsia="Times New Roman" w:hAnsi="Times New Roman" w:cs="Times New Roman"/>
          <w:noProof/>
          <w:sz w:val="24"/>
          <w:szCs w:val="24"/>
          <w:lang w:val="sq-AL"/>
        </w:rPr>
        <w:t xml:space="preserve"> Portali i financave vendore vazhdon të publikojë të dhëna për financat vendore dhe përditësohet me të dhëna për shpenzimet dhe të ardhurat deri në tremujorin e katërt të vitit 2018, për njësitë e qeverisjes vendore individualisht dhe në veçanti; </w:t>
      </w:r>
      <w:r w:rsidRPr="00221487">
        <w:rPr>
          <w:rFonts w:ascii="Times New Roman" w:eastAsia="Times New Roman" w:hAnsi="Times New Roman" w:cs="Times New Roman"/>
          <w:b/>
          <w:noProof/>
          <w:sz w:val="24"/>
          <w:szCs w:val="24"/>
          <w:lang w:val="sq-AL"/>
        </w:rPr>
        <w:t>d)</w:t>
      </w:r>
      <w:r w:rsidRPr="00221487">
        <w:rPr>
          <w:rFonts w:ascii="Times New Roman" w:eastAsia="Times New Roman" w:hAnsi="Times New Roman" w:cs="Times New Roman"/>
          <w:noProof/>
          <w:color w:val="000000"/>
          <w:sz w:val="24"/>
          <w:szCs w:val="24"/>
          <w:lang w:val="sq-AL"/>
        </w:rPr>
        <w:t xml:space="preserve"> INSTAT në vitin 2018, hartoi dhe transmetoi një tabelë eksperimentale </w:t>
      </w:r>
      <w:r w:rsidRPr="00221487">
        <w:rPr>
          <w:rFonts w:ascii="Times New Roman" w:eastAsia="Times New Roman" w:hAnsi="Times New Roman" w:cs="Times New Roman"/>
          <w:bCs/>
          <w:noProof/>
          <w:color w:val="000000"/>
          <w:sz w:val="24"/>
          <w:szCs w:val="24"/>
          <w:lang w:val="sq-AL"/>
        </w:rPr>
        <w:t xml:space="preserve">11 (Shpenzimet qeveritare sipas funksionit) për vitin 2017 e deri në muajin dhjetor 2018, 4 nga 8 tabela GFS iu dërguan EUROSTAT; </w:t>
      </w:r>
      <w:r w:rsidRPr="00221487">
        <w:rPr>
          <w:rFonts w:ascii="Times New Roman" w:eastAsia="Times New Roman" w:hAnsi="Times New Roman" w:cs="Times New Roman"/>
          <w:b/>
          <w:bCs/>
          <w:noProof/>
          <w:color w:val="000000"/>
          <w:sz w:val="24"/>
          <w:szCs w:val="24"/>
          <w:lang w:val="sq-AL"/>
        </w:rPr>
        <w:t>e)</w:t>
      </w:r>
      <w:r w:rsidRPr="00221487">
        <w:rPr>
          <w:rFonts w:ascii="Times New Roman" w:eastAsia="Times New Roman" w:hAnsi="Times New Roman" w:cs="Times New Roman"/>
          <w:noProof/>
          <w:sz w:val="24"/>
          <w:szCs w:val="24"/>
          <w:lang w:val="sq-AL"/>
        </w:rPr>
        <w:t xml:space="preserve"> Është bërë punë e konsiderueshme për të përgatitur dhe prodhuar udhëzues dhe akte nënligjore dhe për të unifikuar formatet e raportimit për ekzekutimin e buxhetit nga NJQV-të, të cilat janë aprovuar nga Ministri i Financave dhe i Ekonomisë në vitin 2018; </w:t>
      </w:r>
      <w:r w:rsidRPr="00221487">
        <w:rPr>
          <w:rFonts w:ascii="Times New Roman" w:eastAsia="Times New Roman" w:hAnsi="Times New Roman" w:cs="Times New Roman"/>
          <w:b/>
          <w:noProof/>
          <w:sz w:val="24"/>
          <w:szCs w:val="24"/>
          <w:lang w:val="sq-AL"/>
        </w:rPr>
        <w:t>f)</w:t>
      </w:r>
      <w:r w:rsidRPr="00221487">
        <w:rPr>
          <w:rFonts w:ascii="Times New Roman" w:eastAsia="Times New Roman" w:hAnsi="Times New Roman" w:cs="Times New Roman"/>
          <w:b/>
          <w:bCs/>
          <w:noProof/>
          <w:sz w:val="24"/>
          <w:szCs w:val="24"/>
          <w:lang w:val="sq-AL" w:eastAsia="nl-NL"/>
        </w:rPr>
        <w:t xml:space="preserve"> </w:t>
      </w:r>
      <w:r w:rsidRPr="00221487">
        <w:rPr>
          <w:rFonts w:ascii="Times New Roman" w:eastAsia="Times New Roman" w:hAnsi="Times New Roman" w:cs="Times New Roman"/>
          <w:bCs/>
          <w:noProof/>
          <w:sz w:val="24"/>
          <w:szCs w:val="24"/>
          <w:lang w:val="sq-AL" w:eastAsia="nl-NL"/>
        </w:rPr>
        <w:t>Raporti për zbatimin e buxhetit, për vitin 2017,</w:t>
      </w:r>
      <w:r w:rsidRPr="00221487">
        <w:rPr>
          <w:rFonts w:ascii="Times New Roman" w:eastAsia="Times New Roman" w:hAnsi="Times New Roman" w:cs="Times New Roman"/>
          <w:b/>
          <w:bCs/>
          <w:noProof/>
          <w:sz w:val="24"/>
          <w:szCs w:val="24"/>
          <w:lang w:val="sq-AL" w:eastAsia="nl-NL"/>
        </w:rPr>
        <w:t xml:space="preserve"> </w:t>
      </w:r>
      <w:r w:rsidRPr="00221487">
        <w:rPr>
          <w:rFonts w:ascii="Times New Roman" w:eastAsia="Times New Roman" w:hAnsi="Times New Roman" w:cs="Times New Roman"/>
          <w:bCs/>
          <w:noProof/>
          <w:sz w:val="24"/>
          <w:szCs w:val="24"/>
          <w:lang w:val="sq-AL" w:eastAsia="nl-NL"/>
        </w:rPr>
        <w:t>u përgatit nga MFE që prej majit 2018 dhe u aprovua nga Kuvendi në muajin korrik</w:t>
      </w:r>
      <w:r w:rsidRPr="00221487">
        <w:rPr>
          <w:rFonts w:ascii="Times New Roman" w:eastAsia="Times New Roman" w:hAnsi="Times New Roman" w:cs="Times New Roman"/>
          <w:b/>
          <w:bCs/>
          <w:noProof/>
          <w:sz w:val="24"/>
          <w:szCs w:val="24"/>
          <w:lang w:val="sq-AL" w:eastAsia="nl-NL"/>
        </w:rPr>
        <w:t xml:space="preserve"> </w:t>
      </w:r>
      <w:r w:rsidRPr="00221487">
        <w:rPr>
          <w:rFonts w:ascii="Times New Roman" w:eastAsia="Times New Roman" w:hAnsi="Times New Roman" w:cs="Times New Roman"/>
          <w:bCs/>
          <w:noProof/>
          <w:sz w:val="24"/>
          <w:szCs w:val="24"/>
          <w:lang w:val="sq-AL" w:eastAsia="nl-NL"/>
        </w:rPr>
        <w:t xml:space="preserve">2018. Versioni aktual i këtij raporti është një shtesë dhe përmirësim i variantit që është përdorur vitet e shkuara; </w:t>
      </w:r>
      <w:r w:rsidRPr="00221487">
        <w:rPr>
          <w:rFonts w:ascii="Times New Roman" w:eastAsia="Times New Roman" w:hAnsi="Times New Roman" w:cs="Times New Roman"/>
          <w:b/>
          <w:bCs/>
          <w:noProof/>
          <w:sz w:val="24"/>
          <w:szCs w:val="24"/>
          <w:lang w:val="sq-AL" w:eastAsia="nl-NL"/>
        </w:rPr>
        <w:t>g)</w:t>
      </w:r>
      <w:r w:rsidRPr="00221487">
        <w:rPr>
          <w:rFonts w:ascii="Times New Roman" w:eastAsia="Times New Roman" w:hAnsi="Times New Roman" w:cs="Times New Roman"/>
          <w:bCs/>
          <w:noProof/>
          <w:sz w:val="24"/>
          <w:szCs w:val="24"/>
          <w:lang w:val="sq-AL" w:eastAsia="nl-NL"/>
        </w:rPr>
        <w:t xml:space="preserve"> Disa akte ligjore/nënligjore në fushën e kontabilitetit dhe raportimit financiar janë</w:t>
      </w:r>
      <w:r w:rsidRPr="00221487">
        <w:rPr>
          <w:rFonts w:ascii="Times New Roman" w:eastAsia="Times New Roman" w:hAnsi="Times New Roman" w:cs="Times New Roman"/>
          <w:bCs/>
          <w:noProof/>
          <w:sz w:val="24"/>
          <w:szCs w:val="24"/>
          <w:lang w:val="sq-AL"/>
        </w:rPr>
        <w:t xml:space="preserve">: </w:t>
      </w:r>
      <w:r w:rsidRPr="00221487">
        <w:rPr>
          <w:rFonts w:ascii="Times New Roman" w:eastAsia="Times New Roman" w:hAnsi="Times New Roman" w:cs="Times New Roman"/>
          <w:noProof/>
          <w:sz w:val="24"/>
          <w:szCs w:val="24"/>
          <w:lang w:val="sq-AL" w:eastAsia="en-GB"/>
        </w:rPr>
        <w:t>Ligji 25/2018 "Për Kontabilitetin dhe Pasqyrat Financiare ";</w:t>
      </w:r>
      <w:r w:rsidRPr="00221487">
        <w:rPr>
          <w:rFonts w:ascii="Times New Roman" w:eastAsia="Times New Roman" w:hAnsi="Times New Roman" w:cs="Times New Roman"/>
          <w:bCs/>
          <w:noProof/>
          <w:sz w:val="24"/>
          <w:szCs w:val="24"/>
          <w:lang w:val="sq-AL"/>
        </w:rPr>
        <w:t xml:space="preserve"> </w:t>
      </w:r>
      <w:r w:rsidRPr="00221487">
        <w:rPr>
          <w:rFonts w:ascii="Times New Roman" w:eastAsia="Times New Roman" w:hAnsi="Times New Roman" w:cs="Times New Roman"/>
          <w:noProof/>
          <w:sz w:val="24"/>
          <w:szCs w:val="24"/>
          <w:lang w:val="sq-AL" w:eastAsia="en-GB"/>
        </w:rPr>
        <w:t xml:space="preserve">Udhëzimi nr. 39, datë 24.12.2018 "Për procedurat për mbylljen e llogarive vjetore të buxhetit të vitit 2018"; </w:t>
      </w:r>
      <w:r w:rsidRPr="00221487">
        <w:rPr>
          <w:rFonts w:ascii="Times New Roman" w:eastAsia="Times New Roman" w:hAnsi="Times New Roman" w:cs="Times New Roman"/>
          <w:noProof/>
          <w:sz w:val="24"/>
          <w:szCs w:val="24"/>
          <w:lang w:val="sq-AL"/>
        </w:rPr>
        <w:t>Udhëzimi nr. 8, datë 09.03.2018 "</w:t>
      </w:r>
      <w:r w:rsidRPr="00221487">
        <w:rPr>
          <w:rFonts w:ascii="Times New Roman" w:eastAsia="Times New Roman" w:hAnsi="Times New Roman" w:cs="Times New Roman"/>
          <w:i/>
          <w:noProof/>
          <w:sz w:val="24"/>
          <w:szCs w:val="24"/>
          <w:lang w:val="sq-AL"/>
        </w:rPr>
        <w:t>Për Procedurat për Përgatitjen, Prezantimin dhe Raportimin e Pasqyrave Qeveritare Vjetore në Njësitë e Qeverisjes Qendore".</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Në nivel aktiviteti, </w:t>
      </w:r>
      <w:r w:rsidRPr="00221487">
        <w:rPr>
          <w:rFonts w:ascii="Times New Roman" w:eastAsia="Times New Roman" w:hAnsi="Times New Roman" w:cs="Times New Roman"/>
          <w:b/>
          <w:noProof/>
          <w:sz w:val="24"/>
          <w:szCs w:val="24"/>
          <w:lang w:val="sq-AL"/>
        </w:rPr>
        <w:t>kjo Shtyllë përbëhet nga 5 masa,</w:t>
      </w:r>
      <w:r w:rsidRPr="00221487">
        <w:rPr>
          <w:rFonts w:ascii="Times New Roman" w:eastAsia="Times New Roman" w:hAnsi="Times New Roman" w:cs="Times New Roman"/>
          <w:noProof/>
          <w:sz w:val="24"/>
          <w:szCs w:val="24"/>
          <w:lang w:val="sq-AL"/>
        </w:rPr>
        <w:t xml:space="preserve"> katër në proces dhe njëra që nuk ka filluar ende.  (Graph 7).</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p>
    <w:p w:rsidR="00221487" w:rsidRPr="00221487" w:rsidRDefault="00221487" w:rsidP="00221487">
      <w:pPr>
        <w:spacing w:before="120" w:after="120" w:line="240" w:lineRule="auto"/>
        <w:jc w:val="both"/>
        <w:rPr>
          <w:rFonts w:ascii="Times New Roman" w:eastAsia="Times New Roman" w:hAnsi="Times New Roman" w:cs="Times New Roman"/>
          <w:b/>
          <w:noProof/>
          <w:sz w:val="24"/>
          <w:szCs w:val="24"/>
          <w:lang w:val="sq-AL"/>
        </w:rPr>
      </w:pPr>
      <w:r w:rsidRPr="00221487">
        <w:rPr>
          <w:rFonts w:ascii="Times New Roman" w:eastAsia="Times New Roman" w:hAnsi="Times New Roman" w:cs="Times New Roman"/>
          <w:b/>
          <w:noProof/>
          <w:sz w:val="24"/>
          <w:szCs w:val="24"/>
          <w:lang w:val="sq-AL"/>
        </w:rPr>
        <w:t>Graf. 7: Shytlla- Raportim qeveritar transparent</w:t>
      </w:r>
    </w:p>
    <w:tbl>
      <w:tblPr>
        <w:tblW w:w="9606" w:type="dxa"/>
        <w:tblBorders>
          <w:top w:val="single" w:sz="4" w:space="0" w:color="auto"/>
          <w:bottom w:val="single" w:sz="4" w:space="0" w:color="auto"/>
        </w:tblBorders>
        <w:tblLayout w:type="fixed"/>
        <w:tblLook w:val="04A0" w:firstRow="1" w:lastRow="0" w:firstColumn="1" w:lastColumn="0" w:noHBand="0" w:noVBand="1"/>
      </w:tblPr>
      <w:tblGrid>
        <w:gridCol w:w="5637"/>
        <w:gridCol w:w="3969"/>
      </w:tblGrid>
      <w:tr w:rsidR="00221487" w:rsidRPr="00221487" w:rsidTr="004342D7">
        <w:trPr>
          <w:trHeight w:val="3302"/>
        </w:trPr>
        <w:tc>
          <w:tcPr>
            <w:tcW w:w="5637" w:type="dxa"/>
          </w:tcPr>
          <w:p w:rsidR="00221487" w:rsidRPr="00221487" w:rsidRDefault="00221487" w:rsidP="00221487">
            <w:pPr>
              <w:spacing w:after="0" w:line="240" w:lineRule="auto"/>
              <w:jc w:val="both"/>
              <w:rPr>
                <w:rFonts w:ascii="Times New Roman" w:eastAsia="Times New Roman" w:hAnsi="Times New Roman" w:cs="Times New Roman"/>
                <w:noProof/>
                <w:sz w:val="24"/>
                <w:szCs w:val="24"/>
                <w:highlight w:val="yellow"/>
                <w:lang w:val="sq-AL"/>
              </w:rPr>
            </w:pP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Statusi i aktiviteteve për vitin 2018</w:t>
            </w:r>
          </w:p>
          <w:p w:rsidR="00221487" w:rsidRPr="00221487" w:rsidRDefault="00221487" w:rsidP="00221487">
            <w:pPr>
              <w:spacing w:after="0" w:line="240" w:lineRule="auto"/>
              <w:jc w:val="both"/>
              <w:rPr>
                <w:rFonts w:ascii="Times New Roman" w:eastAsia="Times" w:hAnsi="Times New Roman" w:cs="Times New Roman"/>
                <w:noProof/>
                <w:sz w:val="24"/>
                <w:szCs w:val="24"/>
                <w:highlight w:val="yellow"/>
                <w:lang w:val="sq-AL"/>
              </w:rPr>
            </w:pPr>
            <w:r w:rsidRPr="00221487">
              <w:rPr>
                <w:rFonts w:ascii="Times New Roman" w:eastAsia="Times New Roman" w:hAnsi="Times New Roman" w:cs="Times New Roman"/>
                <w:noProof/>
                <w:sz w:val="24"/>
                <w:szCs w:val="24"/>
              </w:rPr>
              <w:drawing>
                <wp:inline distT="0" distB="0" distL="0" distR="0" wp14:anchorId="669B8F4B" wp14:editId="78D51ED6">
                  <wp:extent cx="3314700" cy="1733550"/>
                  <wp:effectExtent l="0" t="0" r="19050" b="1905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c>
          <w:tcPr>
            <w:tcW w:w="3969" w:type="dxa"/>
          </w:tcPr>
          <w:p w:rsidR="00221487" w:rsidRPr="00221487" w:rsidRDefault="00221487" w:rsidP="00221487">
            <w:pPr>
              <w:spacing w:after="0" w:line="240" w:lineRule="auto"/>
              <w:jc w:val="both"/>
              <w:rPr>
                <w:rFonts w:ascii="Times New Roman" w:eastAsia="Times" w:hAnsi="Times New Roman" w:cs="Times New Roman"/>
                <w:noProof/>
                <w:sz w:val="24"/>
                <w:szCs w:val="24"/>
                <w:highlight w:val="yellow"/>
                <w:lang w:val="sq-AL"/>
              </w:rPr>
            </w:pPr>
          </w:p>
          <w:p w:rsidR="00221487" w:rsidRPr="00221487" w:rsidRDefault="00221487" w:rsidP="00221487">
            <w:pPr>
              <w:spacing w:after="0" w:line="240" w:lineRule="auto"/>
              <w:jc w:val="both"/>
              <w:rPr>
                <w:rFonts w:ascii="Times New Roman" w:eastAsia="Times" w:hAnsi="Times New Roman" w:cs="Times New Roman"/>
                <w:noProof/>
                <w:sz w:val="24"/>
                <w:szCs w:val="24"/>
                <w:highlight w:val="yellow"/>
                <w:lang w:val="sq-AL"/>
              </w:rPr>
            </w:pPr>
          </w:p>
          <w:p w:rsidR="00221487" w:rsidRPr="00221487" w:rsidRDefault="00221487" w:rsidP="00221487">
            <w:pPr>
              <w:spacing w:after="0" w:line="240" w:lineRule="auto"/>
              <w:jc w:val="both"/>
              <w:rPr>
                <w:rFonts w:ascii="Times New Roman" w:eastAsia="Times" w:hAnsi="Times New Roman" w:cs="Times New Roman"/>
                <w:noProof/>
                <w:sz w:val="24"/>
                <w:szCs w:val="24"/>
                <w:highlight w:val="yellow"/>
                <w:lang w:val="sq-AL"/>
              </w:rPr>
            </w:pPr>
          </w:p>
          <w:tbl>
            <w:tblPr>
              <w:tblW w:w="2615" w:type="dxa"/>
              <w:tblLayout w:type="fixed"/>
              <w:tblLook w:val="04A0" w:firstRow="1" w:lastRow="0" w:firstColumn="1" w:lastColumn="0" w:noHBand="0" w:noVBand="1"/>
            </w:tblPr>
            <w:tblGrid>
              <w:gridCol w:w="2379"/>
              <w:gridCol w:w="236"/>
            </w:tblGrid>
            <w:tr w:rsidR="00221487" w:rsidRPr="00221487" w:rsidTr="004342D7">
              <w:trPr>
                <w:trHeight w:val="315"/>
              </w:trPr>
              <w:tc>
                <w:tcPr>
                  <w:tcW w:w="2615" w:type="dxa"/>
                  <w:gridSpan w:val="2"/>
                  <w:tcBorders>
                    <w:top w:val="nil"/>
                    <w:left w:val="nil"/>
                    <w:bottom w:val="single" w:sz="8" w:space="0" w:color="auto"/>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Nr. i aktiviteteve</w:t>
                  </w:r>
                </w:p>
              </w:tc>
            </w:tr>
            <w:tr w:rsidR="00221487" w:rsidRPr="00221487" w:rsidTr="004342D7">
              <w:trPr>
                <w:trHeight w:val="315"/>
              </w:trPr>
              <w:tc>
                <w:tcPr>
                  <w:tcW w:w="2379" w:type="dxa"/>
                  <w:tcBorders>
                    <w:top w:val="nil"/>
                    <w:left w:val="nil"/>
                    <w:bottom w:val="nil"/>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Të plotësuar</w:t>
                  </w:r>
                </w:p>
              </w:tc>
              <w:tc>
                <w:tcPr>
                  <w:tcW w:w="236" w:type="dxa"/>
                  <w:tcBorders>
                    <w:top w:val="nil"/>
                    <w:left w:val="nil"/>
                    <w:bottom w:val="nil"/>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0</w:t>
                  </w:r>
                </w:p>
              </w:tc>
            </w:tr>
            <w:tr w:rsidR="00221487" w:rsidRPr="00221487" w:rsidTr="004342D7">
              <w:trPr>
                <w:trHeight w:val="315"/>
              </w:trPr>
              <w:tc>
                <w:tcPr>
                  <w:tcW w:w="2379" w:type="dxa"/>
                  <w:tcBorders>
                    <w:top w:val="nil"/>
                    <w:left w:val="nil"/>
                    <w:bottom w:val="nil"/>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Në proces</w:t>
                  </w:r>
                </w:p>
              </w:tc>
              <w:tc>
                <w:tcPr>
                  <w:tcW w:w="236" w:type="dxa"/>
                  <w:tcBorders>
                    <w:top w:val="nil"/>
                    <w:left w:val="nil"/>
                    <w:bottom w:val="nil"/>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4</w:t>
                  </w:r>
                </w:p>
              </w:tc>
            </w:tr>
            <w:tr w:rsidR="00221487" w:rsidRPr="00221487" w:rsidTr="004342D7">
              <w:trPr>
                <w:trHeight w:val="315"/>
              </w:trPr>
              <w:tc>
                <w:tcPr>
                  <w:tcW w:w="2379" w:type="dxa"/>
                  <w:tcBorders>
                    <w:top w:val="nil"/>
                    <w:left w:val="nil"/>
                    <w:bottom w:val="single" w:sz="8" w:space="0" w:color="auto"/>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Nuk kanë filluar</w:t>
                  </w:r>
                </w:p>
              </w:tc>
              <w:tc>
                <w:tcPr>
                  <w:tcW w:w="236" w:type="dxa"/>
                  <w:tcBorders>
                    <w:top w:val="nil"/>
                    <w:left w:val="nil"/>
                    <w:bottom w:val="single" w:sz="8" w:space="0" w:color="auto"/>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1</w:t>
                  </w:r>
                </w:p>
              </w:tc>
            </w:tr>
            <w:tr w:rsidR="00221487" w:rsidRPr="00221487" w:rsidTr="004342D7">
              <w:trPr>
                <w:trHeight w:val="300"/>
              </w:trPr>
              <w:tc>
                <w:tcPr>
                  <w:tcW w:w="2379" w:type="dxa"/>
                  <w:tcBorders>
                    <w:top w:val="nil"/>
                    <w:left w:val="nil"/>
                    <w:bottom w:val="nil"/>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p>
              </w:tc>
              <w:tc>
                <w:tcPr>
                  <w:tcW w:w="236" w:type="dxa"/>
                  <w:tcBorders>
                    <w:top w:val="nil"/>
                    <w:left w:val="nil"/>
                    <w:bottom w:val="nil"/>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5</w:t>
                  </w:r>
                </w:p>
              </w:tc>
            </w:tr>
          </w:tbl>
          <w:p w:rsidR="00221487" w:rsidRPr="00221487" w:rsidRDefault="00221487" w:rsidP="00221487">
            <w:pPr>
              <w:spacing w:after="0" w:line="240" w:lineRule="auto"/>
              <w:jc w:val="both"/>
              <w:rPr>
                <w:rFonts w:ascii="Times New Roman" w:eastAsia="Times" w:hAnsi="Times New Roman" w:cs="Times New Roman"/>
                <w:noProof/>
                <w:sz w:val="24"/>
                <w:szCs w:val="24"/>
                <w:highlight w:val="yellow"/>
                <w:lang w:val="sq-AL"/>
              </w:rPr>
            </w:pPr>
          </w:p>
          <w:p w:rsidR="00221487" w:rsidRPr="00221487" w:rsidRDefault="00221487" w:rsidP="00221487">
            <w:pPr>
              <w:spacing w:after="0" w:line="240" w:lineRule="auto"/>
              <w:jc w:val="both"/>
              <w:rPr>
                <w:rFonts w:ascii="Times New Roman" w:eastAsia="Times" w:hAnsi="Times New Roman" w:cs="Times New Roman"/>
                <w:noProof/>
                <w:sz w:val="24"/>
                <w:szCs w:val="24"/>
                <w:highlight w:val="yellow"/>
                <w:lang w:val="sq-AL"/>
              </w:rPr>
            </w:pPr>
          </w:p>
          <w:p w:rsidR="00221487" w:rsidRPr="00221487" w:rsidRDefault="00221487" w:rsidP="00221487">
            <w:pPr>
              <w:spacing w:after="0" w:line="240" w:lineRule="auto"/>
              <w:jc w:val="both"/>
              <w:rPr>
                <w:rFonts w:ascii="Times New Roman" w:eastAsia="Times" w:hAnsi="Times New Roman" w:cs="Times New Roman"/>
                <w:noProof/>
                <w:sz w:val="24"/>
                <w:szCs w:val="24"/>
                <w:highlight w:val="yellow"/>
                <w:lang w:val="sq-AL"/>
              </w:rPr>
            </w:pPr>
          </w:p>
        </w:tc>
      </w:tr>
    </w:tbl>
    <w:p w:rsidR="00221487" w:rsidRPr="00221487" w:rsidRDefault="00221487" w:rsidP="00221487">
      <w:pPr>
        <w:spacing w:after="0" w:line="240" w:lineRule="auto"/>
        <w:ind w:left="540"/>
        <w:jc w:val="both"/>
        <w:rPr>
          <w:rFonts w:ascii="Times New Roman" w:eastAsia="Times" w:hAnsi="Times New Roman" w:cs="Times New Roman"/>
          <w:noProof/>
          <w:sz w:val="24"/>
          <w:szCs w:val="24"/>
          <w:lang w:val="sq-AL"/>
        </w:rPr>
      </w:pP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New Roman" w:hAnsi="Times New Roman" w:cs="Times New Roman"/>
          <w:noProof/>
          <w:sz w:val="24"/>
          <w:szCs w:val="24"/>
          <w:lang w:val="sq-AL"/>
        </w:rPr>
        <w:t>Produktet dhe sfidat kundrejt masave janë si më poshtë:</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p>
    <w:p w:rsidR="00221487" w:rsidRPr="00221487" w:rsidRDefault="00221487" w:rsidP="00221487">
      <w:pPr>
        <w:keepNext/>
        <w:spacing w:after="0" w:line="240" w:lineRule="auto"/>
        <w:jc w:val="both"/>
        <w:outlineLvl w:val="2"/>
        <w:rPr>
          <w:rFonts w:ascii="Times New Roman" w:eastAsia="Times New Roman" w:hAnsi="Times New Roman" w:cs="Times New Roman"/>
          <w:b/>
          <w:noProof/>
          <w:color w:val="000000" w:themeColor="text1"/>
          <w:sz w:val="24"/>
          <w:szCs w:val="24"/>
          <w:lang w:val="sq-AL"/>
        </w:rPr>
      </w:pPr>
      <w:bookmarkStart w:id="58" w:name="_Toc3984192"/>
      <w:bookmarkStart w:id="59" w:name="_Toc3984481"/>
      <w:r w:rsidRPr="00221487">
        <w:rPr>
          <w:rFonts w:ascii="Times New Roman" w:eastAsia="Times" w:hAnsi="Times New Roman" w:cs="Times New Roman"/>
          <w:i/>
          <w:noProof/>
          <w:color w:val="000000" w:themeColor="text1"/>
          <w:sz w:val="24"/>
          <w:szCs w:val="24"/>
          <w:lang w:val="sq-AL"/>
        </w:rPr>
        <w:t>Përgatitja e raporteve financiarë sipas ESA 2010 dhe manualit për statistikat e integruara financiare qeveritare (</w:t>
      </w:r>
      <w:r w:rsidRPr="00221487">
        <w:rPr>
          <w:rFonts w:ascii="Times New Roman" w:eastAsia="Times New Roman" w:hAnsi="Times New Roman" w:cs="Times New Roman"/>
          <w:i/>
          <w:noProof/>
          <w:color w:val="000000" w:themeColor="text1"/>
          <w:sz w:val="24"/>
          <w:szCs w:val="24"/>
          <w:lang w:val="sq-AL"/>
        </w:rPr>
        <w:t>në proces/sipas planit)</w:t>
      </w:r>
      <w:r w:rsidRPr="00221487">
        <w:rPr>
          <w:rFonts w:ascii="Times New Roman" w:eastAsia="Times New Roman" w:hAnsi="Times New Roman" w:cs="Times New Roman"/>
          <w:b/>
          <w:noProof/>
          <w:color w:val="000000" w:themeColor="text1"/>
          <w:sz w:val="24"/>
          <w:szCs w:val="24"/>
          <w:lang w:val="sq-AL"/>
        </w:rPr>
        <w:t>:</w:t>
      </w:r>
      <w:bookmarkEnd w:id="58"/>
      <w:bookmarkEnd w:id="59"/>
      <w:r w:rsidRPr="00221487">
        <w:rPr>
          <w:rFonts w:ascii="Times New Roman" w:eastAsia="Times New Roman" w:hAnsi="Times New Roman" w:cs="Times New Roman"/>
          <w:b/>
          <w:noProof/>
          <w:color w:val="000000" w:themeColor="text1"/>
          <w:sz w:val="24"/>
          <w:szCs w:val="24"/>
          <w:lang w:val="sq-AL"/>
        </w:rPr>
        <w:t xml:space="preserve"> </w:t>
      </w:r>
    </w:p>
    <w:p w:rsidR="00221487" w:rsidRPr="00221487" w:rsidRDefault="00221487" w:rsidP="00221487">
      <w:pPr>
        <w:keepNext/>
        <w:spacing w:after="0" w:line="240" w:lineRule="auto"/>
        <w:jc w:val="both"/>
        <w:outlineLvl w:val="2"/>
        <w:rPr>
          <w:rFonts w:ascii="Times New Roman" w:eastAsia="Times" w:hAnsi="Times New Roman" w:cs="Times New Roman"/>
          <w:noProof/>
          <w:color w:val="000000" w:themeColor="text1"/>
          <w:sz w:val="24"/>
          <w:szCs w:val="24"/>
          <w:lang w:val="sq-AL"/>
        </w:rPr>
      </w:pPr>
      <w:bookmarkStart w:id="60" w:name="_Toc3984193"/>
      <w:bookmarkStart w:id="61" w:name="_Toc3984482"/>
      <w:r w:rsidRPr="00221487">
        <w:rPr>
          <w:rFonts w:ascii="Times New Roman" w:eastAsia="Times New Roman" w:hAnsi="Times New Roman" w:cs="Times New Roman"/>
          <w:noProof/>
          <w:color w:val="000000" w:themeColor="text1"/>
          <w:sz w:val="24"/>
          <w:szCs w:val="24"/>
          <w:lang w:val="sq-AL"/>
        </w:rPr>
        <w:t xml:space="preserve">Të dhënat GFS u përgatitën dhe u publikuan në faqen e internetit të MFE-së. Tabelat statistikore dhe të dhënat/informacioni financiar iu paraqit INSTAT dhe raportet financiare sipas Sistemit Evropian të Llogarive </w:t>
      </w:r>
      <w:r w:rsidRPr="00221487">
        <w:rPr>
          <w:rFonts w:ascii="Times New Roman" w:eastAsia="Calibri" w:hAnsi="Times New Roman" w:cs="Times New Roman"/>
          <w:noProof/>
          <w:color w:val="000000" w:themeColor="text1"/>
          <w:sz w:val="24"/>
          <w:szCs w:val="24"/>
          <w:lang w:val="sq-AL"/>
        </w:rPr>
        <w:t>(</w:t>
      </w:r>
      <w:r w:rsidRPr="00221487">
        <w:rPr>
          <w:rFonts w:ascii="Times New Roman" w:eastAsia="Times New Roman" w:hAnsi="Times New Roman" w:cs="Times New Roman"/>
          <w:noProof/>
          <w:color w:val="000000" w:themeColor="text1"/>
          <w:sz w:val="24"/>
          <w:szCs w:val="24"/>
          <w:lang w:val="sq-AL"/>
        </w:rPr>
        <w:t>ESA 2010) iu dërguan EUROSTAT.</w:t>
      </w:r>
      <w:bookmarkEnd w:id="60"/>
      <w:bookmarkEnd w:id="61"/>
    </w:p>
    <w:p w:rsidR="00221487" w:rsidRPr="00221487" w:rsidRDefault="00221487" w:rsidP="00221487">
      <w:pPr>
        <w:spacing w:after="0" w:line="240" w:lineRule="auto"/>
        <w:jc w:val="both"/>
        <w:rPr>
          <w:rFonts w:asciiTheme="majorHAnsi" w:eastAsia="Times New Roman" w:hAnsiTheme="majorHAnsi" w:cs="Times New Roman"/>
          <w:noProof/>
          <w:sz w:val="24"/>
          <w:szCs w:val="24"/>
          <w:lang w:val="sq-AL"/>
        </w:rPr>
      </w:pPr>
    </w:p>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lastRenderedPageBreak/>
        <w:t>Përmirësimi i aksesit në të dhënat qeveritare financiare dhe operacionet (</w:t>
      </w:r>
      <w:r w:rsidRPr="00221487">
        <w:rPr>
          <w:rFonts w:ascii="Times New Roman" w:eastAsia="Times New Roman" w:hAnsi="Times New Roman" w:cs="Times New Roman"/>
          <w:i/>
          <w:noProof/>
          <w:sz w:val="24"/>
          <w:szCs w:val="24"/>
          <w:lang w:val="sq-AL"/>
        </w:rPr>
        <w:t>e plotësuar)</w:t>
      </w:r>
    </w:p>
    <w:p w:rsidR="00221487" w:rsidRPr="00221487" w:rsidRDefault="00221487" w:rsidP="00221487">
      <w:pPr>
        <w:spacing w:after="0" w:line="240" w:lineRule="auto"/>
        <w:jc w:val="both"/>
        <w:rPr>
          <w:rFonts w:ascii="Times New Roman" w:eastAsia="Times New Roman" w:hAnsi="Times New Roman" w:cs="Times New Roman"/>
          <w:bCs/>
          <w:noProof/>
          <w:sz w:val="24"/>
          <w:szCs w:val="24"/>
          <w:lang w:val="sq-AL" w:eastAsia="nl-NL"/>
        </w:rPr>
      </w:pPr>
      <w:r w:rsidRPr="00221487">
        <w:rPr>
          <w:rFonts w:ascii="Times New Roman" w:eastAsia="Times New Roman" w:hAnsi="Times New Roman" w:cs="Times New Roman"/>
          <w:noProof/>
          <w:sz w:val="24"/>
          <w:szCs w:val="24"/>
          <w:lang w:val="sq-AL"/>
        </w:rPr>
        <w:t>MOFE ndihmohet nga aplikacioni BOOST, e cilë është në dispozicion në faqen e internetit të MFF-së që nga muaji prill i vitit 2018. "Portali i Transparencës" për financat vendore vazhdon të botojë të dhënat për financat lokale dhe azhurnohet me të dhënat për shpenzimet dhe të ardhurat deri në tremujorin e 4-të 2018 për njësi të qeverisjes vendore individuale dhe në veçanti</w:t>
      </w:r>
      <w:r w:rsidRPr="00221487">
        <w:rPr>
          <w:rFonts w:ascii="Times New Roman" w:eastAsia="Times New Roman" w:hAnsi="Times New Roman" w:cs="Times New Roman"/>
          <w:bCs/>
          <w:noProof/>
          <w:sz w:val="24"/>
          <w:szCs w:val="24"/>
          <w:lang w:val="sq-AL" w:eastAsia="nl-NL"/>
        </w:rPr>
        <w:t xml:space="preserve">. </w:t>
      </w:r>
    </w:p>
    <w:p w:rsidR="00221487" w:rsidRPr="00221487" w:rsidRDefault="00221487" w:rsidP="00221487">
      <w:pPr>
        <w:spacing w:after="0" w:line="240" w:lineRule="auto"/>
        <w:jc w:val="both"/>
        <w:rPr>
          <w:rFonts w:ascii="Times New Roman" w:eastAsia="Times New Roman" w:hAnsi="Times New Roman" w:cs="Times New Roman"/>
          <w:bCs/>
          <w:noProof/>
          <w:sz w:val="24"/>
          <w:szCs w:val="24"/>
          <w:lang w:val="sq-AL" w:eastAsia="nl-NL"/>
        </w:rPr>
      </w:pPr>
    </w:p>
    <w:p w:rsidR="00221487" w:rsidRPr="00221487" w:rsidRDefault="00221487" w:rsidP="00221487">
      <w:pPr>
        <w:spacing w:after="0" w:line="240" w:lineRule="auto"/>
        <w:jc w:val="both"/>
        <w:rPr>
          <w:rFonts w:ascii="Times New Roman" w:eastAsia="Times New Roman" w:hAnsi="Times New Roman" w:cs="Times New Roman"/>
          <w:b/>
          <w:i/>
          <w:noProof/>
          <w:sz w:val="24"/>
          <w:szCs w:val="24"/>
          <w:lang w:val="sq-AL"/>
        </w:rPr>
      </w:pPr>
      <w:r w:rsidRPr="00221487">
        <w:rPr>
          <w:rFonts w:ascii="Times New Roman" w:eastAsia="Times New Roman" w:hAnsi="Times New Roman" w:cs="Times New Roman"/>
          <w:b/>
          <w:i/>
          <w:noProof/>
          <w:sz w:val="24"/>
          <w:szCs w:val="24"/>
          <w:lang w:val="sq-AL"/>
        </w:rPr>
        <w:t>Njëqind institucione buxhetore të qeverisë qendrore do të jenë në gjendje të zbatojnë buxhetin dhe të kryejnë raportimin financiar nëpërmjet SIFQ deri në vitin 2020.</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Ky numër u zvogëlua si pasojë e reformës së administratës në vitin 2017 dhe zgjidhjes teknike të zbatimit të portalit në ueb. Në lidhje me këtë të fundit (zbatimi i PU), gjatë hartimit të zgjidhjes për zbatimin e PU, gjatë vitit 2018, rezultoi që aksesi direkt i BI-ve të reja në SIFQ do të vazhdojë të kryhet ashtu siç u vendos në vitin 2012, jo nëpërmjet portalit. Kjo sepse ana teknike e portalit në ueb nuk i plotëson rregullat / kërkesat e kontrollit financiar në procesin e ekzekutimit të buxhetit siç është zbatuar në SIFQ. Meqenëse kjo zgjidhje sjell kosto financiare për licencat e përdoruesve, shtrirja SIFQ në BI-të e tjera do të shtyhet në vitin 2020-2022, me përkatësisht 15 BI të reja çdo vit, pra në total 60 IB deri në vitin 2022. Pas vitit 2022, shtrirja e SIFQ në IB të tjera do të vendoset bazuar në kushtet e konkrete në atë periudhë (shqyrtimi i raportit kosto – përfitim). </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p>
    <w:p w:rsidR="00221487" w:rsidRPr="00221487" w:rsidRDefault="00221487" w:rsidP="007C6F79">
      <w:pPr>
        <w:keepNext/>
        <w:numPr>
          <w:ilvl w:val="2"/>
          <w:numId w:val="22"/>
        </w:numPr>
        <w:spacing w:after="0" w:line="240" w:lineRule="auto"/>
        <w:jc w:val="both"/>
        <w:outlineLvl w:val="2"/>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Kontabiliteti </w:t>
      </w:r>
    </w:p>
    <w:p w:rsidR="00221487" w:rsidRPr="00221487" w:rsidRDefault="00221487" w:rsidP="00221487">
      <w:pPr>
        <w:spacing w:after="0" w:line="240" w:lineRule="auto"/>
        <w:jc w:val="both"/>
        <w:rPr>
          <w:rFonts w:ascii="Times New Roman" w:eastAsia="Times" w:hAnsi="Times New Roman" w:cs="Times New Roman"/>
          <w:b/>
          <w:noProof/>
          <w:sz w:val="24"/>
          <w:szCs w:val="24"/>
          <w:lang w:val="sq-AL"/>
        </w:rPr>
      </w:pPr>
    </w:p>
    <w:tbl>
      <w:tblPr>
        <w:tblW w:w="9427" w:type="dxa"/>
        <w:tblInd w:w="108" w:type="dxa"/>
        <w:tblBorders>
          <w:top w:val="single" w:sz="4" w:space="0" w:color="auto"/>
          <w:left w:val="single" w:sz="4" w:space="0" w:color="auto"/>
          <w:bottom w:val="single" w:sz="4" w:space="0" w:color="auto"/>
          <w:right w:val="single" w:sz="4" w:space="0" w:color="auto"/>
        </w:tblBorders>
        <w:shd w:val="clear" w:color="auto" w:fill="D9D9D9"/>
        <w:tblLook w:val="04A0" w:firstRow="1" w:lastRow="0" w:firstColumn="1" w:lastColumn="0" w:noHBand="0" w:noVBand="1"/>
      </w:tblPr>
      <w:tblGrid>
        <w:gridCol w:w="3402"/>
        <w:gridCol w:w="3686"/>
        <w:gridCol w:w="2339"/>
      </w:tblGrid>
      <w:tr w:rsidR="00221487" w:rsidRPr="005B32A4" w:rsidTr="004342D7">
        <w:tc>
          <w:tcPr>
            <w:tcW w:w="9427" w:type="dxa"/>
            <w:gridSpan w:val="3"/>
            <w:shd w:val="clear" w:color="auto" w:fill="D9D9D9"/>
          </w:tcPr>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t xml:space="preserve">Objektivi </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Kontabiliteti dhe raportimi kryhen në përputhje me SEKP. </w:t>
            </w:r>
            <w:r w:rsidRPr="00221487">
              <w:rPr>
                <w:rFonts w:ascii="Times New Roman" w:eastAsia="Times New Roman" w:hAnsi="Times New Roman" w:cs="Times New Roman"/>
                <w:noProof/>
                <w:sz w:val="24"/>
                <w:szCs w:val="24"/>
                <w:lang w:val="sq-AL"/>
              </w:rPr>
              <w:t>Përmirësimi i Standardeve të Raportimit Financiar dhe Cilësisë së Raportimit Financiar nëpërmjet rritjes së kapaciteteve profesionale dhe infrastrukturës digjitale/të teknologjisë të informacionit</w:t>
            </w:r>
            <w:r w:rsidRPr="00221487">
              <w:rPr>
                <w:rFonts w:ascii="Times New Roman" w:eastAsia="Times" w:hAnsi="Times New Roman" w:cs="Times New Roman"/>
                <w:noProof/>
                <w:sz w:val="24"/>
                <w:szCs w:val="24"/>
                <w:lang w:val="sq-AL"/>
              </w:rPr>
              <w:t>.</w:t>
            </w:r>
          </w:p>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t>Treguesi i rezultatit 1</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Njëqind institucione buxhetore të qeverisë qendrore do të jenë në gjendje të zbatojnë buxhetin e tyre dhe të kryejnë raportimin financiar nëpërmjet SIFQ deri në vitin 2020. </w:t>
            </w:r>
          </w:p>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t>Vlera e treguesit</w:t>
            </w:r>
          </w:p>
          <w:p w:rsidR="00221487" w:rsidRPr="00221487" w:rsidRDefault="00221487" w:rsidP="00221487">
            <w:pPr>
              <w:spacing w:after="0" w:line="240" w:lineRule="auto"/>
              <w:jc w:val="both"/>
              <w:rPr>
                <w:rFonts w:ascii="Times New Roman" w:eastAsia="Times" w:hAnsi="Times New Roman" w:cs="Times New Roman"/>
                <w:noProof/>
                <w:sz w:val="24"/>
                <w:szCs w:val="24"/>
                <w:highlight w:val="yellow"/>
                <w:lang w:val="sq-AL"/>
              </w:rPr>
            </w:pPr>
            <w:r w:rsidRPr="00221487">
              <w:rPr>
                <w:rFonts w:ascii="Times New Roman" w:eastAsia="Times" w:hAnsi="Times New Roman" w:cs="Times New Roman"/>
                <w:noProof/>
                <w:sz w:val="24"/>
                <w:szCs w:val="24"/>
                <w:lang w:val="sq-AL"/>
              </w:rPr>
              <w:t xml:space="preserve">Treguesi për vitin 2018 </w:t>
            </w:r>
            <w:r w:rsidRPr="00221487">
              <w:rPr>
                <w:rFonts w:ascii="Times New Roman" w:eastAsia="Times" w:hAnsi="Times New Roman" w:cs="Times New Roman"/>
                <w:b/>
                <w:noProof/>
                <w:sz w:val="24"/>
                <w:szCs w:val="24"/>
                <w:lang w:val="sq-AL"/>
              </w:rPr>
              <w:t xml:space="preserve">nuk u përmbush, </w:t>
            </w:r>
            <w:r w:rsidRPr="00221487">
              <w:rPr>
                <w:rFonts w:ascii="Times New Roman" w:eastAsia="Times" w:hAnsi="Times New Roman" w:cs="Times New Roman"/>
                <w:noProof/>
                <w:sz w:val="24"/>
                <w:szCs w:val="24"/>
                <w:lang w:val="sq-AL"/>
              </w:rPr>
              <w:t>pasi dy vlerat e synuara shfaqën tendencë në rënie, dhe njëra prej tyre mbeti e njëjtë me vlerën e vitit 2017.</w:t>
            </w:r>
            <w:r w:rsidRPr="00221487">
              <w:rPr>
                <w:rFonts w:ascii="Times New Roman" w:eastAsia="Times" w:hAnsi="Times New Roman" w:cs="Times New Roman"/>
                <w:b/>
                <w:noProof/>
                <w:sz w:val="24"/>
                <w:szCs w:val="24"/>
                <w:lang w:val="sq-AL"/>
              </w:rPr>
              <w:t xml:space="preserve"> </w:t>
            </w:r>
            <w:r w:rsidRPr="00221487">
              <w:rPr>
                <w:rFonts w:ascii="Times New Roman" w:eastAsia="Times" w:hAnsi="Times New Roman" w:cs="Times New Roman"/>
                <w:noProof/>
                <w:sz w:val="24"/>
                <w:szCs w:val="24"/>
                <w:lang w:val="sq-AL"/>
              </w:rPr>
              <w:t xml:space="preserve"> Vlerat e synuara janë: (1) </w:t>
            </w:r>
            <w:r w:rsidRPr="00221487">
              <w:rPr>
                <w:rFonts w:ascii="Times New Roman" w:eastAsia="Times New Roman" w:hAnsi="Times New Roman" w:cs="Times New Roman"/>
                <w:noProof/>
                <w:sz w:val="24"/>
                <w:szCs w:val="24"/>
                <w:lang w:val="sq-AL"/>
              </w:rPr>
              <w:t>Numri i IB-ve që kanë akses në sistemin e Thesarit</w:t>
            </w:r>
            <w:r w:rsidRPr="00221487">
              <w:rPr>
                <w:rFonts w:ascii="Times New Roman" w:eastAsia="Times" w:hAnsi="Times New Roman" w:cs="Times New Roman"/>
                <w:noProof/>
                <w:sz w:val="24"/>
                <w:szCs w:val="24"/>
                <w:lang w:val="sq-AL"/>
              </w:rPr>
              <w:t xml:space="preserve">; (2) </w:t>
            </w:r>
            <w:r w:rsidRPr="00221487">
              <w:rPr>
                <w:rFonts w:ascii="Times New Roman" w:eastAsia="Times New Roman" w:hAnsi="Times New Roman" w:cs="Times New Roman"/>
                <w:noProof/>
                <w:sz w:val="24"/>
                <w:szCs w:val="24"/>
                <w:lang w:val="sq-AL"/>
              </w:rPr>
              <w:t>Raporti i institucioneve buxhetore që përdorin tashmë sistemin krahasuar me numrin total të institucioneve buxhetore; (3) Shuma e buxhetit të monitoruar nga IB që përdorin SIFQ</w:t>
            </w:r>
            <w:r w:rsidRPr="00221487">
              <w:rPr>
                <w:rFonts w:ascii="Times New Roman" w:eastAsia="Times" w:hAnsi="Times New Roman" w:cs="Times New Roman"/>
                <w:noProof/>
                <w:sz w:val="24"/>
                <w:szCs w:val="24"/>
                <w:lang w:val="sq-AL"/>
              </w:rPr>
              <w:t>.</w:t>
            </w:r>
          </w:p>
        </w:tc>
      </w:tr>
      <w:tr w:rsidR="00221487" w:rsidRPr="00221487" w:rsidTr="004342D7">
        <w:trPr>
          <w:trHeight w:val="261"/>
        </w:trPr>
        <w:tc>
          <w:tcPr>
            <w:tcW w:w="3402" w:type="dxa"/>
            <w:shd w:val="clear" w:color="auto" w:fill="D9D9D9"/>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Vlera bazë (2014)</w:t>
            </w:r>
          </w:p>
        </w:tc>
        <w:tc>
          <w:tcPr>
            <w:tcW w:w="3686" w:type="dxa"/>
            <w:shd w:val="clear" w:color="auto" w:fill="D9D9D9"/>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2018</w:t>
            </w:r>
          </w:p>
        </w:tc>
        <w:tc>
          <w:tcPr>
            <w:tcW w:w="2339" w:type="dxa"/>
            <w:shd w:val="clear" w:color="auto" w:fill="D9D9D9"/>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Synimi 2020</w:t>
            </w:r>
          </w:p>
        </w:tc>
      </w:tr>
      <w:tr w:rsidR="00221487" w:rsidRPr="00221487" w:rsidTr="004342D7">
        <w:trPr>
          <w:trHeight w:val="916"/>
        </w:trPr>
        <w:tc>
          <w:tcPr>
            <w:tcW w:w="3402" w:type="dxa"/>
            <w:shd w:val="clear" w:color="auto" w:fill="D9D9D9"/>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I</w:t>
            </w:r>
            <w:r w:rsidRPr="00221487">
              <w:rPr>
                <w:rFonts w:ascii="Times New Roman" w:eastAsia="Times New Roman" w:hAnsi="Times New Roman" w:cs="Times New Roman"/>
                <w:noProof/>
                <w:sz w:val="24"/>
                <w:szCs w:val="24"/>
                <w:vertAlign w:val="subscript"/>
                <w:lang w:val="sq-AL"/>
              </w:rPr>
              <w:t xml:space="preserve">ACCESS </w:t>
            </w:r>
            <w:r w:rsidRPr="00221487">
              <w:rPr>
                <w:rFonts w:ascii="Times New Roman" w:eastAsia="Times New Roman" w:hAnsi="Times New Roman" w:cs="Times New Roman"/>
                <w:noProof/>
                <w:sz w:val="24"/>
                <w:szCs w:val="24"/>
                <w:lang w:val="sq-AL"/>
              </w:rPr>
              <w:t>= 5</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b/>
                <w:noProof/>
                <w:sz w:val="24"/>
                <w:szCs w:val="24"/>
                <w:lang w:val="sq-AL"/>
              </w:rPr>
              <w:t>I</w:t>
            </w:r>
            <w:r w:rsidRPr="00221487">
              <w:rPr>
                <w:rFonts w:ascii="Times New Roman" w:eastAsia="Times New Roman" w:hAnsi="Times New Roman" w:cs="Times New Roman"/>
                <w:b/>
                <w:noProof/>
                <w:sz w:val="24"/>
                <w:szCs w:val="24"/>
                <w:vertAlign w:val="subscript"/>
                <w:lang w:val="sq-AL"/>
              </w:rPr>
              <w:t>SIFQ</w:t>
            </w:r>
            <w:r w:rsidRPr="00221487">
              <w:rPr>
                <w:rFonts w:ascii="Times New Roman" w:eastAsia="Times New Roman" w:hAnsi="Times New Roman" w:cs="Times New Roman"/>
                <w:noProof/>
                <w:sz w:val="24"/>
                <w:szCs w:val="24"/>
                <w:lang w:val="sq-AL"/>
              </w:rPr>
              <w:t>= 8.5%</w:t>
            </w:r>
          </w:p>
          <w:p w:rsidR="00221487" w:rsidRPr="00221487" w:rsidRDefault="00221487" w:rsidP="00221487">
            <w:pPr>
              <w:spacing w:after="0" w:line="240" w:lineRule="auto"/>
              <w:jc w:val="both"/>
              <w:rPr>
                <w:rFonts w:ascii="Times New Roman" w:eastAsia="Times" w:hAnsi="Times New Roman" w:cs="Times New Roman"/>
                <w:noProof/>
                <w:sz w:val="24"/>
                <w:szCs w:val="24"/>
                <w:highlight w:val="yellow"/>
                <w:lang w:val="sq-AL"/>
              </w:rPr>
            </w:pPr>
            <w:r w:rsidRPr="00221487">
              <w:rPr>
                <w:rFonts w:ascii="Times New Roman" w:eastAsia="Times New Roman" w:hAnsi="Times New Roman" w:cs="Times New Roman"/>
                <w:b/>
                <w:noProof/>
                <w:sz w:val="24"/>
                <w:szCs w:val="24"/>
                <w:lang w:val="sq-AL"/>
              </w:rPr>
              <w:t>I</w:t>
            </w:r>
            <w:r w:rsidRPr="00221487">
              <w:rPr>
                <w:rFonts w:ascii="Times New Roman" w:eastAsia="Times New Roman" w:hAnsi="Times New Roman" w:cs="Times New Roman"/>
                <w:b/>
                <w:noProof/>
                <w:sz w:val="24"/>
                <w:szCs w:val="24"/>
                <w:vertAlign w:val="subscript"/>
                <w:lang w:val="sq-AL"/>
              </w:rPr>
              <w:t>M</w:t>
            </w:r>
            <w:r w:rsidRPr="00221487">
              <w:rPr>
                <w:rFonts w:ascii="Times New Roman" w:eastAsia="Times New Roman" w:hAnsi="Times New Roman" w:cs="Times New Roman"/>
                <w:noProof/>
                <w:sz w:val="24"/>
                <w:szCs w:val="24"/>
                <w:lang w:val="sq-AL"/>
              </w:rPr>
              <w:t>=16.5%</w:t>
            </w:r>
          </w:p>
        </w:tc>
        <w:tc>
          <w:tcPr>
            <w:tcW w:w="3686" w:type="dxa"/>
            <w:shd w:val="clear" w:color="auto" w:fill="D9D9D9"/>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I</w:t>
            </w:r>
            <w:r w:rsidRPr="00221487">
              <w:rPr>
                <w:rFonts w:ascii="Times New Roman" w:eastAsia="Times New Roman" w:hAnsi="Times New Roman" w:cs="Times New Roman"/>
                <w:noProof/>
                <w:sz w:val="24"/>
                <w:szCs w:val="24"/>
                <w:vertAlign w:val="subscript"/>
                <w:lang w:val="sq-AL"/>
              </w:rPr>
              <w:t xml:space="preserve">ACCESS </w:t>
            </w:r>
            <w:r w:rsidRPr="00221487">
              <w:rPr>
                <w:rFonts w:ascii="Times New Roman" w:eastAsia="Times New Roman" w:hAnsi="Times New Roman" w:cs="Times New Roman"/>
                <w:noProof/>
                <w:sz w:val="24"/>
                <w:szCs w:val="24"/>
                <w:lang w:val="sq-AL"/>
              </w:rPr>
              <w:t xml:space="preserve"> = 15</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I</w:t>
            </w:r>
            <w:r w:rsidRPr="00221487">
              <w:rPr>
                <w:rFonts w:ascii="Times New Roman" w:eastAsia="Times New Roman" w:hAnsi="Times New Roman" w:cs="Times New Roman"/>
                <w:noProof/>
                <w:sz w:val="24"/>
                <w:szCs w:val="24"/>
                <w:vertAlign w:val="subscript"/>
                <w:lang w:val="sq-AL"/>
              </w:rPr>
              <w:t xml:space="preserve">SIFQ </w:t>
            </w:r>
            <w:r w:rsidRPr="00221487">
              <w:rPr>
                <w:rFonts w:ascii="Times New Roman" w:eastAsia="Times New Roman" w:hAnsi="Times New Roman" w:cs="Times New Roman"/>
                <w:noProof/>
                <w:sz w:val="24"/>
                <w:szCs w:val="24"/>
                <w:lang w:val="sq-AL"/>
              </w:rPr>
              <w:t>= 14%</w:t>
            </w:r>
          </w:p>
          <w:p w:rsidR="00221487" w:rsidRPr="00221487" w:rsidRDefault="00221487" w:rsidP="00221487">
            <w:pPr>
              <w:spacing w:after="0" w:line="240" w:lineRule="auto"/>
              <w:jc w:val="both"/>
              <w:rPr>
                <w:rFonts w:ascii="Times New Roman" w:eastAsia="Times" w:hAnsi="Times New Roman" w:cs="Times New Roman"/>
                <w:b/>
                <w:noProof/>
                <w:sz w:val="24"/>
                <w:szCs w:val="24"/>
                <w:highlight w:val="yellow"/>
                <w:lang w:val="sq-AL"/>
              </w:rPr>
            </w:pPr>
            <w:r w:rsidRPr="00221487">
              <w:rPr>
                <w:rFonts w:ascii="Times New Roman" w:eastAsia="Times New Roman" w:hAnsi="Times New Roman" w:cs="Times New Roman"/>
                <w:b/>
                <w:noProof/>
                <w:sz w:val="24"/>
                <w:szCs w:val="24"/>
                <w:lang w:val="sq-AL"/>
              </w:rPr>
              <w:t xml:space="preserve"> I</w:t>
            </w:r>
            <w:r w:rsidRPr="00221487">
              <w:rPr>
                <w:rFonts w:ascii="Times New Roman" w:eastAsia="Times New Roman" w:hAnsi="Times New Roman" w:cs="Times New Roman"/>
                <w:b/>
                <w:noProof/>
                <w:sz w:val="24"/>
                <w:szCs w:val="24"/>
                <w:vertAlign w:val="subscript"/>
                <w:lang w:val="sq-AL"/>
              </w:rPr>
              <w:t>M</w:t>
            </w:r>
            <w:r w:rsidRPr="00221487">
              <w:rPr>
                <w:rFonts w:ascii="Times New Roman" w:eastAsia="Times New Roman" w:hAnsi="Times New Roman" w:cs="Times New Roman"/>
                <w:noProof/>
                <w:sz w:val="24"/>
                <w:szCs w:val="24"/>
                <w:lang w:val="sq-AL"/>
              </w:rPr>
              <w:t xml:space="preserve"> =85%</w:t>
            </w:r>
          </w:p>
        </w:tc>
        <w:tc>
          <w:tcPr>
            <w:tcW w:w="2339" w:type="dxa"/>
            <w:shd w:val="clear" w:color="auto" w:fill="D9D9D9"/>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Tendencë në rritje</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Tendencë në rritje</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Tendencë në rritje</w:t>
            </w:r>
          </w:p>
        </w:tc>
      </w:tr>
      <w:tr w:rsidR="00221487" w:rsidRPr="005B32A4" w:rsidTr="004342D7">
        <w:trPr>
          <w:trHeight w:val="1019"/>
        </w:trPr>
        <w:tc>
          <w:tcPr>
            <w:tcW w:w="9427" w:type="dxa"/>
            <w:gridSpan w:val="3"/>
            <w:shd w:val="clear" w:color="auto" w:fill="D9D9D9"/>
          </w:tcPr>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t>Treguesi i rezultatit 2</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Paraqitja e pasqyrave financiare sipas kuadrit IPSAS deri në vitin 2020</w:t>
            </w:r>
          </w:p>
          <w:p w:rsidR="00221487" w:rsidRPr="00221487" w:rsidRDefault="00221487" w:rsidP="00221487">
            <w:pPr>
              <w:spacing w:after="0" w:line="240" w:lineRule="auto"/>
              <w:jc w:val="both"/>
              <w:rPr>
                <w:rFonts w:ascii="Times New Roman" w:eastAsia="Times" w:hAnsi="Times New Roman" w:cs="Times New Roman"/>
                <w:i/>
                <w:noProof/>
                <w:sz w:val="24"/>
                <w:szCs w:val="24"/>
                <w:lang w:val="sq-AL"/>
              </w:rPr>
            </w:pPr>
            <w:r w:rsidRPr="00221487">
              <w:rPr>
                <w:rFonts w:ascii="Times New Roman" w:eastAsia="Times" w:hAnsi="Times New Roman" w:cs="Times New Roman"/>
                <w:i/>
                <w:noProof/>
                <w:sz w:val="24"/>
                <w:szCs w:val="24"/>
                <w:lang w:val="sq-AL"/>
              </w:rPr>
              <w:t>Indicator value</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 xml:space="preserve">Treguesi nuk u përmbush pasi nuk pati përmirësim me vitin 2017. Zbatimi i standardeve të kontabilitetit në sektorin publik ende nuk ka nisur, por projekti i financuar nga BB </w:t>
            </w:r>
            <w:r w:rsidRPr="00221487">
              <w:rPr>
                <w:rFonts w:ascii="Times New Roman" w:eastAsia="Times New Roman" w:hAnsi="Times New Roman" w:cs="Times New Roman"/>
                <w:noProof/>
                <w:sz w:val="24"/>
                <w:szCs w:val="24"/>
                <w:lang w:val="sq-AL"/>
              </w:rPr>
              <w:t>“Zhvillimi i Kontabilitetit në Sektorin Publik” filloi në</w:t>
            </w:r>
            <w:r w:rsidRPr="00221487">
              <w:rPr>
                <w:rFonts w:ascii="Times New Roman" w:eastAsia="Times" w:hAnsi="Times New Roman" w:cs="Times New Roman"/>
                <w:noProof/>
                <w:sz w:val="24"/>
                <w:szCs w:val="24"/>
                <w:lang w:val="sq-AL"/>
              </w:rPr>
              <w:t xml:space="preserve"> 17.05.2018 dhe është parashikuar të fillojë progresi në vitin 2019.</w:t>
            </w:r>
          </w:p>
        </w:tc>
      </w:tr>
      <w:tr w:rsidR="00221487" w:rsidRPr="00221487" w:rsidTr="004342D7">
        <w:trPr>
          <w:cantSplit/>
          <w:trHeight w:val="297"/>
        </w:trPr>
        <w:tc>
          <w:tcPr>
            <w:tcW w:w="3402" w:type="dxa"/>
            <w:shd w:val="clear" w:color="auto" w:fill="D9D9D9"/>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w:hAnsi="Times New Roman" w:cs="Times New Roman"/>
                <w:noProof/>
                <w:sz w:val="24"/>
                <w:szCs w:val="24"/>
                <w:lang w:val="sq-AL"/>
              </w:rPr>
              <w:t>Vlera bazë (2014)</w:t>
            </w:r>
          </w:p>
        </w:tc>
        <w:tc>
          <w:tcPr>
            <w:tcW w:w="3686" w:type="dxa"/>
            <w:shd w:val="clear" w:color="auto" w:fill="D9D9D9"/>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2018</w:t>
            </w:r>
          </w:p>
        </w:tc>
        <w:tc>
          <w:tcPr>
            <w:tcW w:w="2339" w:type="dxa"/>
            <w:shd w:val="clear" w:color="auto" w:fill="D9D9D9"/>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Synimi 2020</w:t>
            </w:r>
          </w:p>
        </w:tc>
      </w:tr>
      <w:tr w:rsidR="00221487" w:rsidRPr="00221487" w:rsidTr="004342D7">
        <w:trPr>
          <w:cantSplit/>
          <w:trHeight w:val="342"/>
        </w:trPr>
        <w:tc>
          <w:tcPr>
            <w:tcW w:w="3402" w:type="dxa"/>
            <w:shd w:val="clear" w:color="auto" w:fill="D9D9D9"/>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lastRenderedPageBreak/>
              <w:t>I</w:t>
            </w:r>
            <w:r w:rsidRPr="00221487">
              <w:rPr>
                <w:rFonts w:ascii="Times New Roman" w:eastAsia="Times New Roman" w:hAnsi="Times New Roman" w:cs="Times New Roman"/>
                <w:noProof/>
                <w:sz w:val="24"/>
                <w:szCs w:val="24"/>
                <w:vertAlign w:val="subscript"/>
                <w:lang w:val="sq-AL"/>
              </w:rPr>
              <w:t>IPSAS CA</w:t>
            </w:r>
            <w:r w:rsidRPr="00221487">
              <w:rPr>
                <w:rFonts w:ascii="Times New Roman" w:eastAsia="Times New Roman" w:hAnsi="Times New Roman" w:cs="Times New Roman"/>
                <w:noProof/>
                <w:sz w:val="24"/>
                <w:szCs w:val="24"/>
                <w:lang w:val="sq-AL"/>
              </w:rPr>
              <w:t>= 0</w:t>
            </w:r>
          </w:p>
        </w:tc>
        <w:tc>
          <w:tcPr>
            <w:tcW w:w="3686" w:type="dxa"/>
            <w:shd w:val="clear" w:color="auto" w:fill="D9D9D9"/>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I</w:t>
            </w:r>
            <w:r w:rsidRPr="00221487">
              <w:rPr>
                <w:rFonts w:ascii="Times New Roman" w:eastAsia="Times New Roman" w:hAnsi="Times New Roman" w:cs="Times New Roman"/>
                <w:noProof/>
                <w:sz w:val="24"/>
                <w:szCs w:val="24"/>
                <w:vertAlign w:val="subscript"/>
                <w:lang w:val="sq-AL"/>
              </w:rPr>
              <w:t>IPSAS CA</w:t>
            </w:r>
            <w:r w:rsidRPr="00221487">
              <w:rPr>
                <w:rFonts w:ascii="Times New Roman" w:eastAsia="Times New Roman" w:hAnsi="Times New Roman" w:cs="Times New Roman"/>
                <w:noProof/>
                <w:sz w:val="24"/>
                <w:szCs w:val="24"/>
                <w:lang w:val="sq-AL"/>
              </w:rPr>
              <w:t>= 0</w:t>
            </w:r>
          </w:p>
        </w:tc>
        <w:tc>
          <w:tcPr>
            <w:tcW w:w="2339" w:type="dxa"/>
            <w:shd w:val="clear" w:color="auto" w:fill="D9D9D9"/>
          </w:tcPr>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Tendencë në rritje</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p>
        </w:tc>
      </w:tr>
    </w:tbl>
    <w:p w:rsidR="00221487" w:rsidRPr="00221487" w:rsidRDefault="00221487" w:rsidP="00221487">
      <w:pPr>
        <w:spacing w:after="0" w:line="240" w:lineRule="auto"/>
        <w:jc w:val="both"/>
        <w:rPr>
          <w:rFonts w:ascii="Times New Roman" w:eastAsia="Times" w:hAnsi="Times New Roman" w:cs="Times New Roman"/>
          <w:b/>
          <w:noProof/>
          <w:sz w:val="24"/>
          <w:szCs w:val="24"/>
          <w:lang w:val="sq-AL"/>
        </w:rPr>
      </w:pPr>
      <w:r w:rsidRPr="00221487">
        <w:rPr>
          <w:rFonts w:ascii="Times New Roman" w:eastAsia="Times" w:hAnsi="Times New Roman" w:cs="Times New Roman"/>
          <w:b/>
          <w:noProof/>
          <w:sz w:val="24"/>
          <w:szCs w:val="24"/>
          <w:lang w:val="sq-AL"/>
        </w:rPr>
        <w:t>Masa 1: Përgatitja e raporteve financiare në bazë të manualit statistikor financiar të integruar</w:t>
      </w:r>
    </w:p>
    <w:p w:rsidR="00221487" w:rsidRPr="00221487" w:rsidRDefault="00221487" w:rsidP="00221487">
      <w:pPr>
        <w:spacing w:after="0" w:line="240" w:lineRule="auto"/>
        <w:jc w:val="both"/>
        <w:rPr>
          <w:rFonts w:ascii="Times New Roman" w:eastAsia="Times" w:hAnsi="Times New Roman" w:cs="Times New Roman"/>
          <w:b/>
          <w:noProof/>
          <w:sz w:val="24"/>
          <w:szCs w:val="24"/>
          <w:lang w:val="sq-AL"/>
        </w:rPr>
      </w:pPr>
      <w:r w:rsidRPr="00221487">
        <w:rPr>
          <w:rFonts w:ascii="Times New Roman" w:eastAsia="Times" w:hAnsi="Times New Roman" w:cs="Times New Roman"/>
          <w:b/>
          <w:noProof/>
          <w:sz w:val="24"/>
          <w:szCs w:val="24"/>
          <w:lang w:val="sq-AL"/>
        </w:rPr>
        <w:t>qeveritar ESA 2010 (</w:t>
      </w:r>
      <w:r w:rsidRPr="00221487">
        <w:rPr>
          <w:rFonts w:ascii="Times New Roman" w:eastAsia="Times New Roman" w:hAnsi="Times New Roman" w:cs="Times New Roman"/>
          <w:b/>
          <w:i/>
          <w:noProof/>
          <w:sz w:val="24"/>
          <w:szCs w:val="24"/>
          <w:lang w:val="sq-AL"/>
        </w:rPr>
        <w:t>në proces/sipas planit)</w:t>
      </w:r>
    </w:p>
    <w:p w:rsidR="00221487" w:rsidRPr="00221487" w:rsidRDefault="00221487" w:rsidP="00221487">
      <w:pPr>
        <w:spacing w:after="0" w:line="240" w:lineRule="auto"/>
        <w:jc w:val="both"/>
        <w:rPr>
          <w:rFonts w:ascii="Times New Roman" w:eastAsia="Times New Roman" w:hAnsi="Times New Roman" w:cs="Times New Roman"/>
          <w:bCs/>
          <w:noProof/>
          <w:color w:val="FF0000"/>
          <w:sz w:val="24"/>
          <w:szCs w:val="24"/>
          <w:lang w:val="sq-AL"/>
        </w:rPr>
      </w:pPr>
      <w:r w:rsidRPr="00221487">
        <w:rPr>
          <w:rFonts w:ascii="Times New Roman" w:eastAsia="Times New Roman" w:hAnsi="Times New Roman" w:cs="Times New Roman"/>
          <w:bCs/>
          <w:noProof/>
          <w:color w:val="000000"/>
          <w:sz w:val="24"/>
          <w:szCs w:val="24"/>
          <w:lang w:val="sq-AL"/>
        </w:rPr>
        <w:t xml:space="preserve">INSTAT-i hartoi dhe transmetoi të dhënat GFS sipas programit të transmetimit SELL 2010 (ESA). </w:t>
      </w:r>
      <w:r w:rsidRPr="00221487">
        <w:rPr>
          <w:rFonts w:ascii="Times New Roman" w:eastAsia="Times New Roman" w:hAnsi="Times New Roman" w:cs="Times New Roman"/>
          <w:noProof/>
          <w:color w:val="000000"/>
          <w:sz w:val="24"/>
          <w:szCs w:val="24"/>
          <w:lang w:val="sq-AL"/>
        </w:rPr>
        <w:t xml:space="preserve">INSTAT ka punuar për të përmirësuar cilësinë dhe sasinë e të dhënave të nevojshme për GFS sipas kërkesave të Sistemit Evropian të Llogarive (SELL) 2010. Për herë të parë, në vitin 2018, </w:t>
      </w:r>
      <w:r w:rsidRPr="00221487">
        <w:rPr>
          <w:rFonts w:ascii="Times New Roman" w:eastAsia="Times New Roman" w:hAnsi="Times New Roman" w:cs="Times New Roman"/>
          <w:bCs/>
          <w:noProof/>
          <w:color w:val="000000"/>
          <w:sz w:val="24"/>
          <w:szCs w:val="24"/>
          <w:lang w:val="sq-AL"/>
        </w:rPr>
        <w:t>INSTAT hartoi dhe transmetoi një tabelë eksperimentale 11 (Shpenzimet qeveritare sipas funksionit) për vitin 2017. Deri në muajin dhjetor 2018, 4 nga 8 tabelat GFS iu dërguan EUROSTAT. Në vitin 2019, EUROSTAT-it do t’i dërgohen tabela të reja për llogaritë financiare, me qëllim eksperimental. INSTAT vijon të dërgojë dy herë në vitë tabelat EDP, sipas kërkesave të EUROSTAT</w:t>
      </w:r>
      <w:r w:rsidRPr="00221487">
        <w:rPr>
          <w:rFonts w:ascii="Times New Roman" w:eastAsia="Times New Roman" w:hAnsi="Times New Roman" w:cs="Times New Roman"/>
          <w:bCs/>
          <w:noProof/>
          <w:color w:val="FF0000"/>
          <w:sz w:val="24"/>
          <w:szCs w:val="24"/>
          <w:lang w:val="sq-AL"/>
        </w:rPr>
        <w:t xml:space="preserve">. </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bCs/>
          <w:noProof/>
          <w:sz w:val="24"/>
          <w:szCs w:val="24"/>
          <w:lang w:val="sq-AL"/>
        </w:rPr>
        <w:t xml:space="preserve">Për forcimin e kapaciteteve në forcimin dhe shpërndarjen e të dhënave GFS dhe statistikave EDP, i ofrohet asistencë teknike MFE-së dhe INSTAT nga Sekretariati Shtetëror për Çështjet Ekonomike. Ky projekt mbështet si zbatimin e </w:t>
      </w:r>
      <w:r w:rsidRPr="00221487">
        <w:rPr>
          <w:rFonts w:ascii="Times New Roman" w:eastAsia="Times New Roman" w:hAnsi="Times New Roman" w:cs="Times New Roman"/>
          <w:noProof/>
          <w:sz w:val="24"/>
          <w:szCs w:val="24"/>
          <w:lang w:val="sq-AL"/>
        </w:rPr>
        <w:t xml:space="preserve">GFSM 2014 dhe të ESA 2010. </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p>
    <w:p w:rsidR="00221487" w:rsidRPr="00221487" w:rsidRDefault="00221487" w:rsidP="00221487">
      <w:pPr>
        <w:spacing w:after="0" w:line="240" w:lineRule="auto"/>
        <w:jc w:val="both"/>
        <w:rPr>
          <w:rFonts w:ascii="Times New Roman" w:eastAsia="Times" w:hAnsi="Times New Roman" w:cs="Times New Roman"/>
          <w:b/>
          <w:noProof/>
          <w:sz w:val="24"/>
          <w:szCs w:val="24"/>
          <w:lang w:val="sq-AL"/>
        </w:rPr>
      </w:pPr>
      <w:r w:rsidRPr="00221487">
        <w:rPr>
          <w:rFonts w:ascii="Times New Roman" w:eastAsia="Times" w:hAnsi="Times New Roman" w:cs="Times New Roman"/>
          <w:b/>
          <w:noProof/>
          <w:sz w:val="24"/>
          <w:szCs w:val="24"/>
          <w:lang w:val="sq-AL"/>
        </w:rPr>
        <w:t>Masa 2: Zbatimi i IPSAS (</w:t>
      </w:r>
      <w:r w:rsidRPr="00221487">
        <w:rPr>
          <w:rFonts w:ascii="Times New Roman" w:eastAsia="Times New Roman" w:hAnsi="Times New Roman" w:cs="Times New Roman"/>
          <w:b/>
          <w:i/>
          <w:noProof/>
          <w:sz w:val="24"/>
          <w:szCs w:val="24"/>
          <w:lang w:val="sq-AL"/>
        </w:rPr>
        <w:t>në proces/sipas planit</w:t>
      </w:r>
      <w:r w:rsidRPr="00221487">
        <w:rPr>
          <w:rFonts w:ascii="Times New Roman" w:eastAsia="Times New Roman" w:hAnsi="Times New Roman" w:cs="Times New Roman"/>
          <w:b/>
          <w:noProof/>
          <w:sz w:val="24"/>
          <w:szCs w:val="24"/>
          <w:lang w:val="sq-AL"/>
        </w:rPr>
        <w:t>)</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p>
    <w:p w:rsidR="00221487" w:rsidRPr="00221487" w:rsidRDefault="00221487" w:rsidP="00221487">
      <w:pPr>
        <w:spacing w:after="0"/>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IPSAS, me mbështetjen e SECO dhe të BB-së do të zbatohet në tre faza: (i) përafrimi me kuadrin ligjor aktual në fushën e kontabilitetit në sektorin publik, në Shqipëri (ii) asistencë për njëtrajtshmërinë më GAAP të Shqipërisë dhe (iii) njëtrajtshmëri e plotë me GAAP.</w:t>
      </w:r>
    </w:p>
    <w:p w:rsidR="00221487" w:rsidRPr="00221487" w:rsidRDefault="00221487" w:rsidP="00221487">
      <w:pPr>
        <w:spacing w:after="0"/>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Zbatimi i standardeve në fushën e sektorit publik ende nuk ka filluar. Përsa i përket zbatimit gradual, janë parashikuar këto aktivitete: a</w:t>
      </w:r>
      <w:r w:rsidRPr="00221487">
        <w:rPr>
          <w:rFonts w:ascii="Times New Roman" w:eastAsia="Times New Roman" w:hAnsi="Times New Roman" w:cs="Times New Roman"/>
          <w:b/>
          <w:noProof/>
          <w:sz w:val="24"/>
          <w:szCs w:val="24"/>
          <w:lang w:val="sq-AL"/>
        </w:rPr>
        <w:t>) Përgatitja e kornizës ligjore për kontabilitetin publik dhe kuadrit rregullator</w:t>
      </w:r>
      <w:r w:rsidRPr="00221487">
        <w:rPr>
          <w:rFonts w:ascii="Times New Roman" w:eastAsia="Times New Roman" w:hAnsi="Times New Roman" w:cs="Times New Roman"/>
          <w:noProof/>
          <w:sz w:val="24"/>
          <w:szCs w:val="24"/>
          <w:lang w:val="sq-AL"/>
        </w:rPr>
        <w:t>. Ky nënkomponent mbulon aktivitetet si në vijim: i) përkthimin e IPSAS në shqip, ii) përgatitjen dhe miratimin e legjislacionit kombëtar për kontabilitetin dhe iii) udhëzimi për zbatimin në nivel kombëtar. Përgatitja e materialeve praktike udhëzuese, ka rezultuar të jetë një faktor kyç suksesi në vende dhe kontekste të tjera; b</w:t>
      </w:r>
      <w:r w:rsidRPr="00221487">
        <w:rPr>
          <w:rFonts w:ascii="Times New Roman" w:eastAsia="Times New Roman" w:hAnsi="Times New Roman" w:cs="Times New Roman"/>
          <w:b/>
          <w:noProof/>
          <w:sz w:val="24"/>
          <w:szCs w:val="24"/>
          <w:lang w:val="sq-AL"/>
        </w:rPr>
        <w:t>) Rishikimi dhe ndryshimi i planit kombëtar kontabël</w:t>
      </w:r>
      <w:r w:rsidRPr="00221487">
        <w:rPr>
          <w:rFonts w:ascii="Times New Roman" w:eastAsia="Times New Roman" w:hAnsi="Times New Roman" w:cs="Times New Roman"/>
          <w:noProof/>
          <w:sz w:val="24"/>
          <w:szCs w:val="24"/>
          <w:lang w:val="sq-AL"/>
        </w:rPr>
        <w:t>. Ky nënkomponent përfshin (i) rishikimin dhe (ii) nëse nevojitet ndryshimin e kartës kombëtare të llogarive për të qenë plotësisht në një linjë me kontabilitetin në bazë të drejtash dhe detyrimesh të konstatuara/buxhetimin dhe nevojat statistikore; c</w:t>
      </w:r>
      <w:r w:rsidRPr="00221487">
        <w:rPr>
          <w:rFonts w:ascii="Times New Roman" w:eastAsia="Times New Roman" w:hAnsi="Times New Roman" w:cs="Times New Roman"/>
          <w:b/>
          <w:noProof/>
          <w:sz w:val="24"/>
          <w:szCs w:val="24"/>
          <w:lang w:val="sq-AL"/>
        </w:rPr>
        <w:t>) Zbatimi gradual i standardeve të kontabilitetit të njohura ndërkombëtare në përputhje me IPSAS.</w:t>
      </w:r>
    </w:p>
    <w:p w:rsidR="00221487" w:rsidRPr="00221487" w:rsidRDefault="00221487" w:rsidP="00221487">
      <w:pPr>
        <w:spacing w:after="0"/>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Në lidhje me përgatitjen e kornizës së kontabilitetit dhe kuadrit ligjor, janë bërë disa ndryshime. Në këtë kontekst, Drejtoria e Harmonizimit për Menaxhimin Financiar dhe Kontrollin, në përputhje me Drejtorinë e Buxhetit dhe Drejtorinë e Thesarit aprovuan </w:t>
      </w:r>
      <w:r w:rsidRPr="00221487">
        <w:rPr>
          <w:rFonts w:ascii="Times New Roman" w:eastAsia="Times New Roman" w:hAnsi="Times New Roman" w:cs="Times New Roman"/>
          <w:b/>
          <w:noProof/>
          <w:sz w:val="24"/>
          <w:szCs w:val="24"/>
          <w:lang w:val="sq-AL"/>
        </w:rPr>
        <w:t>Udhëzimin nr. 8,</w:t>
      </w:r>
      <w:r w:rsidRPr="00221487">
        <w:rPr>
          <w:rFonts w:ascii="Times New Roman" w:eastAsia="Times New Roman" w:hAnsi="Times New Roman" w:cs="Times New Roman"/>
          <w:noProof/>
          <w:sz w:val="24"/>
          <w:szCs w:val="24"/>
          <w:lang w:val="sq-AL"/>
        </w:rPr>
        <w:t xml:space="preserve"> datë 09.03.2018 "</w:t>
      </w:r>
      <w:r w:rsidRPr="00221487">
        <w:rPr>
          <w:rFonts w:ascii="Times New Roman" w:eastAsia="Times New Roman" w:hAnsi="Times New Roman" w:cs="Times New Roman"/>
          <w:i/>
          <w:noProof/>
          <w:sz w:val="24"/>
          <w:szCs w:val="24"/>
          <w:lang w:val="sq-AL"/>
        </w:rPr>
        <w:t>Për Procedurat për Përgatitjen, Paraqitjen dhe Raportimin e Pasqyrave Financiare Vjetore në Njësitë e Qeverisjes së Përgjithshme";</w:t>
      </w:r>
      <w:r w:rsidRPr="00221487">
        <w:rPr>
          <w:rFonts w:ascii="Times New Roman" w:eastAsia="Times New Roman" w:hAnsi="Times New Roman" w:cs="Times New Roman"/>
          <w:i/>
          <w:noProof/>
          <w:sz w:val="24"/>
          <w:szCs w:val="24"/>
          <w:vertAlign w:val="superscript"/>
          <w:lang w:val="sq-AL"/>
        </w:rPr>
        <w:footnoteReference w:id="15"/>
      </w:r>
      <w:r w:rsidRPr="00221487">
        <w:rPr>
          <w:rFonts w:ascii="Times New Roman" w:eastAsia="Times New Roman" w:hAnsi="Times New Roman" w:cs="Times New Roman"/>
          <w:noProof/>
          <w:sz w:val="24"/>
          <w:szCs w:val="24"/>
          <w:lang w:val="sq-AL"/>
        </w:rPr>
        <w:t xml:space="preserve"> bazuar në GAAP në sektorin publik. Qëllimi i këtij udhëzimi është të krijojë bazën rregullatore për përgatitjen, paraqitjen dhe raportimin e pasqyrave financiare vjetore nga njësitë e qeverisjes së përgjithshme, bazuar në Parimet e Përgjithshme të Njohura të Kontabilitetit në </w:t>
      </w:r>
      <w:r w:rsidRPr="00221487">
        <w:rPr>
          <w:rFonts w:ascii="Times New Roman" w:eastAsia="Times New Roman" w:hAnsi="Times New Roman" w:cs="Times New Roman"/>
          <w:noProof/>
          <w:sz w:val="24"/>
          <w:szCs w:val="24"/>
          <w:lang w:val="sq-AL"/>
        </w:rPr>
        <w:lastRenderedPageBreak/>
        <w:t>Sektorin Publik (kuadri rregullator i fushës) që të jenë në përputhje me seksionet e përzgjedhura për zbatimin e IPSAS.</w:t>
      </w:r>
    </w:p>
    <w:p w:rsidR="00221487" w:rsidRPr="00221487" w:rsidRDefault="00221487" w:rsidP="00221487">
      <w:pPr>
        <w:spacing w:after="0"/>
        <w:jc w:val="both"/>
        <w:rPr>
          <w:rFonts w:ascii="Times New Roman" w:eastAsia="Times New Roman" w:hAnsi="Times New Roman" w:cs="Times New Roman"/>
          <w:b/>
          <w:bCs/>
          <w:noProof/>
          <w:sz w:val="24"/>
          <w:szCs w:val="24"/>
          <w:lang w:val="sq-AL"/>
        </w:rPr>
      </w:pPr>
      <w:r w:rsidRPr="00221487">
        <w:rPr>
          <w:rFonts w:ascii="Times New Roman" w:eastAsia="Times New Roman" w:hAnsi="Times New Roman" w:cs="Times New Roman"/>
          <w:b/>
          <w:bCs/>
          <w:noProof/>
          <w:sz w:val="24"/>
          <w:szCs w:val="24"/>
          <w:lang w:val="sq-AL"/>
        </w:rPr>
        <w:t xml:space="preserve">Disa akte të tjera ligjore/nënligjore në fushën e kontabilitetit dhe raportimit financiar janë: </w:t>
      </w:r>
    </w:p>
    <w:p w:rsidR="00221487" w:rsidRPr="00221487" w:rsidRDefault="00221487" w:rsidP="007C6F79">
      <w:pPr>
        <w:numPr>
          <w:ilvl w:val="0"/>
          <w:numId w:val="21"/>
        </w:numPr>
        <w:spacing w:after="0" w:line="240" w:lineRule="auto"/>
        <w:contextualSpacing/>
        <w:jc w:val="both"/>
        <w:rPr>
          <w:rFonts w:ascii="Times New Roman" w:eastAsia="Times New Roman" w:hAnsi="Times New Roman" w:cs="Times New Roman"/>
          <w:noProof/>
          <w:sz w:val="24"/>
          <w:szCs w:val="24"/>
          <w:lang w:val="sq-AL" w:eastAsia="en-GB"/>
        </w:rPr>
      </w:pPr>
      <w:r w:rsidRPr="00221487">
        <w:rPr>
          <w:rFonts w:ascii="Times New Roman" w:eastAsia="Times New Roman" w:hAnsi="Times New Roman" w:cs="Times New Roman"/>
          <w:noProof/>
          <w:sz w:val="24"/>
          <w:szCs w:val="24"/>
          <w:lang w:val="sq-AL" w:eastAsia="en-GB"/>
        </w:rPr>
        <w:t>Ligji 25/2018 "Për Kontabilitetin dhe Pasqyrat Financiare";</w:t>
      </w:r>
      <w:r w:rsidRPr="00221487">
        <w:rPr>
          <w:rFonts w:ascii="Times New Roman" w:eastAsia="Times New Roman" w:hAnsi="Times New Roman" w:cs="Times New Roman"/>
          <w:noProof/>
          <w:sz w:val="24"/>
          <w:szCs w:val="24"/>
          <w:vertAlign w:val="superscript"/>
          <w:lang w:val="sq-AL" w:eastAsia="en-GB"/>
        </w:rPr>
        <w:footnoteReference w:id="16"/>
      </w:r>
    </w:p>
    <w:p w:rsidR="00221487" w:rsidRPr="00221487" w:rsidRDefault="00221487" w:rsidP="007C6F79">
      <w:pPr>
        <w:numPr>
          <w:ilvl w:val="0"/>
          <w:numId w:val="21"/>
        </w:numPr>
        <w:spacing w:after="0" w:line="240" w:lineRule="auto"/>
        <w:contextualSpacing/>
        <w:jc w:val="both"/>
        <w:rPr>
          <w:rFonts w:ascii="Times New Roman" w:eastAsia="Times New Roman" w:hAnsi="Times New Roman" w:cs="Times New Roman"/>
          <w:noProof/>
          <w:sz w:val="24"/>
          <w:szCs w:val="24"/>
          <w:lang w:val="sq-AL" w:eastAsia="en-GB"/>
        </w:rPr>
      </w:pPr>
      <w:r w:rsidRPr="00221487">
        <w:rPr>
          <w:rFonts w:ascii="Times New Roman" w:eastAsia="Times New Roman" w:hAnsi="Times New Roman" w:cs="Times New Roman"/>
          <w:noProof/>
          <w:sz w:val="24"/>
          <w:szCs w:val="24"/>
          <w:lang w:val="sq-AL" w:eastAsia="en-GB"/>
        </w:rPr>
        <w:t>Udhëzimi nr. 39, datë 24.12.2018 "Për Procedurat për Mbylljen e Llogarive Vjetore të Buxhetit 2018";</w:t>
      </w:r>
      <w:r w:rsidRPr="00221487">
        <w:rPr>
          <w:rFonts w:ascii="Times New Roman" w:eastAsia="Times New Roman" w:hAnsi="Times New Roman" w:cs="Times New Roman"/>
          <w:noProof/>
          <w:sz w:val="24"/>
          <w:szCs w:val="24"/>
          <w:vertAlign w:val="superscript"/>
          <w:lang w:val="sq-AL" w:eastAsia="en-GB"/>
        </w:rPr>
        <w:footnoteReference w:id="17"/>
      </w:r>
    </w:p>
    <w:p w:rsidR="00221487" w:rsidRPr="00221487" w:rsidRDefault="00221487" w:rsidP="00221487">
      <w:pPr>
        <w:spacing w:after="0" w:line="240" w:lineRule="auto"/>
        <w:jc w:val="both"/>
        <w:rPr>
          <w:rFonts w:ascii="Times New Roman" w:eastAsia="Times" w:hAnsi="Times New Roman" w:cs="Times New Roman"/>
          <w:b/>
          <w:noProof/>
          <w:sz w:val="24"/>
          <w:szCs w:val="24"/>
          <w:lang w:val="sq-AL"/>
        </w:rPr>
      </w:pPr>
      <w:r w:rsidRPr="00221487">
        <w:rPr>
          <w:rFonts w:ascii="Times New Roman" w:eastAsia="Times" w:hAnsi="Times New Roman" w:cs="Times New Roman"/>
          <w:b/>
          <w:noProof/>
          <w:sz w:val="24"/>
          <w:szCs w:val="24"/>
          <w:lang w:val="sq-AL"/>
        </w:rPr>
        <w:t>Masa 3: Ngritja e kapaciteteve dhe garantimi i qëndrueshmërisë (</w:t>
      </w:r>
      <w:r w:rsidRPr="00221487">
        <w:rPr>
          <w:rFonts w:ascii="Times New Roman" w:eastAsia="Times New Roman" w:hAnsi="Times New Roman" w:cs="Times New Roman"/>
          <w:b/>
          <w:i/>
          <w:noProof/>
          <w:sz w:val="24"/>
          <w:szCs w:val="24"/>
          <w:lang w:val="sq-AL"/>
        </w:rPr>
        <w:t>nuk ka filluar/ me vonesë</w:t>
      </w:r>
      <w:r w:rsidRPr="00221487">
        <w:rPr>
          <w:rFonts w:ascii="Times New Roman" w:eastAsia="Times New Roman" w:hAnsi="Times New Roman" w:cs="Times New Roman"/>
          <w:b/>
          <w:noProof/>
          <w:sz w:val="24"/>
          <w:szCs w:val="24"/>
          <w:lang w:val="sq-AL"/>
        </w:rPr>
        <w:t>)</w:t>
      </w: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p>
    <w:p w:rsidR="00221487" w:rsidRPr="00221487" w:rsidRDefault="00221487" w:rsidP="00221487">
      <w:pPr>
        <w:spacing w:after="0"/>
        <w:jc w:val="both"/>
        <w:rPr>
          <w:rFonts w:ascii="Times New Roman" w:eastAsia="Times" w:hAnsi="Times New Roman" w:cs="Times New Roman"/>
          <w:noProof/>
          <w:sz w:val="24"/>
          <w:szCs w:val="24"/>
          <w:lang w:val="sq-AL" w:eastAsia="nl-NL"/>
        </w:rPr>
      </w:pPr>
      <w:r w:rsidRPr="00221487">
        <w:rPr>
          <w:rFonts w:ascii="Times New Roman" w:eastAsia="Times" w:hAnsi="Times New Roman" w:cs="Times New Roman"/>
          <w:noProof/>
          <w:sz w:val="24"/>
          <w:szCs w:val="24"/>
          <w:lang w:val="sq-AL" w:eastAsia="nl-NL"/>
        </w:rPr>
        <w:t xml:space="preserve">Me fillimin e zbatimit të projektit IPSAS, dhe kur të hartohet Plani i Veprimit Strategjik për Vendin, do të fillojë edhe zhvillimi i aftësive profesionale në fushën e kontabilitetit dhe mekanizmat e trajnimit. Plani Kombëtar i Veprimit Strategjik është një plan veprimi strategjik që do të zbatohet në kuadër të këtij projekti dhe do të hartohet nga një konsulent i huaj. </w:t>
      </w:r>
    </w:p>
    <w:p w:rsidR="00221487" w:rsidRPr="00221487" w:rsidRDefault="00221487" w:rsidP="00221487">
      <w:pPr>
        <w:spacing w:after="0"/>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Projekti i financuar nga SECO “</w:t>
      </w:r>
      <w:r w:rsidRPr="00221487">
        <w:rPr>
          <w:rFonts w:ascii="Times New Roman" w:eastAsia="Times" w:hAnsi="Times New Roman" w:cs="Times New Roman"/>
          <w:i/>
          <w:noProof/>
          <w:sz w:val="24"/>
          <w:szCs w:val="24"/>
          <w:lang w:val="sq-AL"/>
        </w:rPr>
        <w:t>Zhvillimi i Kontabilitetit në Sektorin Publik</w:t>
      </w:r>
      <w:r w:rsidRPr="00221487">
        <w:rPr>
          <w:rFonts w:ascii="Times New Roman" w:eastAsia="Times" w:hAnsi="Times New Roman" w:cs="Times New Roman"/>
          <w:noProof/>
          <w:sz w:val="24"/>
          <w:szCs w:val="24"/>
          <w:lang w:val="sq-AL"/>
        </w:rPr>
        <w:t xml:space="preserve">”  i zbatuar nëpërmjet BB, ka filluar më 17.05.2018, pas nënshkrimit të Marrëveshjes së  Grantit dhe ka si objektiv “Përgatitjen e një udhërrëfyesi për zbatimin e kontabilitetin në bazë të drejtash dhe detyrimesh të konstatuara në fushën e sektorit publik” si dhe të ofrojë mbështetje në hapat e parë të kësaj reforme, përfshirë forcimin e aftësive thelbësore teknike. Më 29 tetor 2018, u kontraktua një konsulent ndërkombëtar për të ndihmuar me forcimin e kapaciteteve dhe të aftësive profesionale të kontabilitetit, për profesionistët e kontabilitetit publik. Gjatë periudhës 18-23 nëntor, konsulenti organizoi misionin e parë në Shqipëri, ku u mbajtën disa takime me pjesëmarrjen e grupit për zbatimin e projektit dhe me aktorë të tjerë për t’u njohur me proceset ekzistuese të kontabilitetit. </w:t>
      </w:r>
    </w:p>
    <w:p w:rsidR="00221487" w:rsidRPr="00221487" w:rsidRDefault="00221487" w:rsidP="00221487">
      <w:pPr>
        <w:spacing w:after="0"/>
        <w:jc w:val="both"/>
        <w:rPr>
          <w:rFonts w:ascii="Times New Roman" w:eastAsia="Times" w:hAnsi="Times New Roman" w:cs="Times New Roman"/>
          <w:noProof/>
          <w:sz w:val="24"/>
          <w:szCs w:val="24"/>
          <w:lang w:val="sq-AL"/>
        </w:rPr>
      </w:pPr>
      <w:r w:rsidRPr="00221487">
        <w:rPr>
          <w:rFonts w:ascii="Times New Roman" w:eastAsia="Times" w:hAnsi="Times New Roman" w:cs="Times New Roman"/>
          <w:noProof/>
          <w:sz w:val="24"/>
          <w:szCs w:val="24"/>
          <w:lang w:val="sq-AL"/>
        </w:rPr>
        <w:t>Gjithashtu gjatë periudhës 17-21 dhjetor 2018, konsulenti kreu misionin e dytë në Shqipëri me qëllim që të siguronte më shumë informacion për situatën aktuale në fushën e kontabilitetit publik. U mbajtën disa takime me palët kryesore të interesit, përfshirë takimet me ministritë e linjës, të cilat shërbyen për të kuptuar sfidat që duhet të adresohen në planin e veprimit për zbatimin e IPSAS. Gjithashtu, konsulenti ka hartuar edhe Raportin Fillestar për objektivat dhe aktivitetet kryesore që do të zhvillohen në të ardhmen.</w:t>
      </w:r>
    </w:p>
    <w:p w:rsidR="00221487" w:rsidRPr="00221487" w:rsidRDefault="00221487" w:rsidP="00221487">
      <w:pPr>
        <w:spacing w:after="0"/>
        <w:jc w:val="both"/>
        <w:rPr>
          <w:rFonts w:ascii="Times New Roman" w:eastAsia="Calibri" w:hAnsi="Times New Roman" w:cs="Times New Roman"/>
          <w:bCs/>
          <w:noProof/>
          <w:sz w:val="24"/>
          <w:szCs w:val="24"/>
          <w:lang w:val="sq-AL" w:eastAsia="nl-NL"/>
        </w:rPr>
      </w:pPr>
      <w:r w:rsidRPr="00221487">
        <w:rPr>
          <w:rFonts w:ascii="Times New Roman" w:eastAsia="Calibri" w:hAnsi="Times New Roman" w:cs="Times New Roman"/>
          <w:bCs/>
          <w:noProof/>
          <w:sz w:val="24"/>
          <w:szCs w:val="24"/>
          <w:lang w:val="sq-AL" w:eastAsia="nl-NL"/>
        </w:rPr>
        <w:t xml:space="preserve">Gjatë vitit 2018, u krijua një funksion më vetë në Drejtorinë e Harmonizimit për Menaxhimin Financiar, Kontrollin dhe Kontabilitetin, përgjegjës për mbikëqyrjen e kontabilitetit dhe tranzicionit drejt Standardeve Ndërkombëtare të Kontabilitetit në Sektorin Publik. Kjo njësi është përgjegjëse për përgatitjen, azhornimin e metodologjisë së kontabilitetit në sektorin publik dhe hartimin e aktive ligjore dhe nënligjore në sektorin privat, si dhe për monitorimin e zbatimit të këtyre akteve, përmes trajnimit dhe ndihmesës për njësitë e sektorit publik dhe privat. </w:t>
      </w:r>
    </w:p>
    <w:p w:rsidR="00221487" w:rsidRPr="00221487" w:rsidRDefault="00221487" w:rsidP="00221487">
      <w:pPr>
        <w:spacing w:after="0"/>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Gjatë muajve prill – qershor 2018, DH/MFK, në bashkëpunim me Shkollën Shqiptare të Admistratës Publike ka kryer tre cikle me trajnime një ditore për konceptet kyçe të kontabilitetit në sektorin publik, pjesë e kursit të trajnimit 5-ditor për kontrollin e brendshëm financiar dhe zbatimin në praktikë të elementëve kryesorë të MFK-së (rreth 56 pjesëmarrës). </w:t>
      </w:r>
    </w:p>
    <w:p w:rsidR="00221487" w:rsidRPr="00221487" w:rsidRDefault="00221487" w:rsidP="00221487">
      <w:pPr>
        <w:spacing w:after="0"/>
        <w:jc w:val="both"/>
        <w:rPr>
          <w:rFonts w:ascii="Times New Roman" w:eastAsia="Times New Roman" w:hAnsi="Times New Roman" w:cs="Times New Roman"/>
          <w:noProof/>
          <w:color w:val="000000" w:themeColor="text1"/>
          <w:sz w:val="24"/>
          <w:szCs w:val="24"/>
          <w:lang w:val="sq-AL"/>
        </w:rPr>
      </w:pPr>
    </w:p>
    <w:p w:rsidR="00221487" w:rsidRPr="00221487" w:rsidRDefault="00221487" w:rsidP="007C6F79">
      <w:pPr>
        <w:keepNext/>
        <w:numPr>
          <w:ilvl w:val="2"/>
          <w:numId w:val="22"/>
        </w:numPr>
        <w:spacing w:after="0" w:line="240" w:lineRule="auto"/>
        <w:jc w:val="both"/>
        <w:outlineLvl w:val="3"/>
        <w:rPr>
          <w:rFonts w:ascii="Times New Roman" w:eastAsia="Times" w:hAnsi="Times New Roman" w:cs="Times New Roman"/>
          <w:noProof/>
          <w:color w:val="000000" w:themeColor="text1"/>
          <w:sz w:val="24"/>
          <w:szCs w:val="24"/>
          <w:lang w:val="sq-AL"/>
        </w:rPr>
      </w:pPr>
      <w:r w:rsidRPr="00221487">
        <w:rPr>
          <w:rFonts w:ascii="Times New Roman" w:eastAsia="Times" w:hAnsi="Times New Roman" w:cs="Times New Roman"/>
          <w:noProof/>
          <w:color w:val="000000" w:themeColor="text1"/>
          <w:sz w:val="24"/>
          <w:szCs w:val="24"/>
          <w:lang w:val="sq-AL"/>
        </w:rPr>
        <w:t>Monitorimi dhe raportimi financiar dhe i performancës</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p>
    <w:p w:rsidR="00221487" w:rsidRPr="00221487" w:rsidRDefault="00221487" w:rsidP="00221487">
      <w:pPr>
        <w:spacing w:after="0" w:line="240" w:lineRule="auto"/>
        <w:jc w:val="both"/>
        <w:rPr>
          <w:rFonts w:ascii="Times New Roman" w:eastAsia="Times" w:hAnsi="Times New Roman" w:cs="Times New Roman"/>
          <w:b/>
          <w:noProof/>
          <w:sz w:val="24"/>
          <w:szCs w:val="24"/>
          <w:lang w:val="sq-AL"/>
        </w:rPr>
      </w:pPr>
      <w:r w:rsidRPr="00221487">
        <w:rPr>
          <w:rFonts w:ascii="Times New Roman" w:eastAsia="Times" w:hAnsi="Times New Roman" w:cs="Times New Roman"/>
          <w:b/>
          <w:noProof/>
          <w:sz w:val="24"/>
          <w:szCs w:val="24"/>
          <w:lang w:val="sq-AL"/>
        </w:rPr>
        <w:t>Masa 1: Përmirësimi i procedurave dhe formateve për raportimin e zbatimit të buxhetit gjatë vitit përfshirë informacionin thelbësor financiar (</w:t>
      </w:r>
      <w:r w:rsidRPr="00221487">
        <w:rPr>
          <w:rFonts w:ascii="Times New Roman" w:eastAsia="Times New Roman" w:hAnsi="Times New Roman" w:cs="Times New Roman"/>
          <w:b/>
          <w:i/>
          <w:noProof/>
          <w:sz w:val="24"/>
          <w:szCs w:val="24"/>
          <w:lang w:val="sq-AL"/>
        </w:rPr>
        <w:t>në proces/sipas planit)</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Është bërë punë e konsiderueshme për të përgatitur dhe prodhuar udhëzime dhe akte nënligjore për të përmirësuar dhe unifikuar formatet e raportimit për zbatimin e buxhetit në NJQV-të, të cilat janë aprovuar nga Ministri i Financave dhe Ekonomisë në vitin 2018. Akti nënligjor në lidhje me Vështirësitë Financiare dhe  Paaftësinë Paguese (Insolvenca) pritet të aprovohet në muajin qershor 2019. Udhëzimet e aprovuara janë:  </w:t>
      </w:r>
      <w:r w:rsidRPr="00221487">
        <w:rPr>
          <w:rFonts w:ascii="Times New Roman" w:eastAsia="Times New Roman" w:hAnsi="Times New Roman" w:cs="Times New Roman"/>
          <w:b/>
          <w:noProof/>
          <w:sz w:val="24"/>
          <w:szCs w:val="24"/>
          <w:lang w:val="sq-AL"/>
        </w:rPr>
        <w:t>Udhëzimi Nr. 23, datë 30.07.2018</w:t>
      </w:r>
      <w:r w:rsidRPr="00221487">
        <w:rPr>
          <w:rFonts w:ascii="Times New Roman" w:eastAsia="Times New Roman" w:hAnsi="Times New Roman" w:cs="Times New Roman"/>
          <w:noProof/>
          <w:sz w:val="24"/>
          <w:szCs w:val="24"/>
          <w:lang w:val="sq-AL"/>
        </w:rPr>
        <w:t xml:space="preserve"> "</w:t>
      </w:r>
      <w:r w:rsidRPr="00221487">
        <w:rPr>
          <w:rFonts w:ascii="Times New Roman" w:eastAsia="Times New Roman" w:hAnsi="Times New Roman" w:cs="Times New Roman"/>
          <w:i/>
          <w:noProof/>
          <w:sz w:val="24"/>
          <w:szCs w:val="24"/>
          <w:lang w:val="sq-AL"/>
        </w:rPr>
        <w:t>Për procedurat standarde për përgatitjen e programit afatmesëm të njësive të qeverisjes vendore</w:t>
      </w:r>
      <w:r w:rsidRPr="00221487">
        <w:rPr>
          <w:rFonts w:ascii="Times New Roman" w:eastAsia="Times New Roman" w:hAnsi="Times New Roman" w:cs="Times New Roman"/>
          <w:noProof/>
          <w:sz w:val="24"/>
          <w:szCs w:val="24"/>
          <w:lang w:val="sq-AL"/>
        </w:rPr>
        <w:t>"</w:t>
      </w:r>
      <w:r w:rsidRPr="00221487">
        <w:rPr>
          <w:rFonts w:ascii="Times New Roman" w:eastAsia="Times New Roman" w:hAnsi="Times New Roman" w:cs="Times New Roman"/>
          <w:noProof/>
          <w:sz w:val="24"/>
          <w:szCs w:val="24"/>
          <w:vertAlign w:val="superscript"/>
          <w:lang w:val="sq-AL"/>
        </w:rPr>
        <w:footnoteReference w:id="18"/>
      </w:r>
      <w:r w:rsidRPr="00221487">
        <w:rPr>
          <w:rFonts w:ascii="Times New Roman" w:eastAsia="Times New Roman" w:hAnsi="Times New Roman" w:cs="Times New Roman"/>
          <w:noProof/>
          <w:sz w:val="24"/>
          <w:szCs w:val="24"/>
          <w:lang w:val="sq-AL"/>
        </w:rPr>
        <w:t xml:space="preserve">. Qëllimi i këtij udhëzimi është të përkufizojë rregullat, procedurat dhe afatet kohore që duhen respektuar gjatë procesit të hartimit të programit buxhetor afatmesëm nga njësitë e qeverisjes vendore; </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b/>
          <w:noProof/>
          <w:sz w:val="24"/>
          <w:szCs w:val="24"/>
          <w:lang w:val="sq-AL"/>
        </w:rPr>
        <w:t>Udhëzimi nr. 22 datë 30.07.2018</w:t>
      </w:r>
      <w:r w:rsidRPr="00221487">
        <w:rPr>
          <w:rFonts w:ascii="Times New Roman" w:eastAsia="Times New Roman" w:hAnsi="Times New Roman" w:cs="Times New Roman"/>
          <w:noProof/>
          <w:sz w:val="24"/>
          <w:szCs w:val="24"/>
          <w:lang w:val="sq-AL"/>
        </w:rPr>
        <w:t xml:space="preserve"> "</w:t>
      </w:r>
      <w:r w:rsidRPr="00221487">
        <w:rPr>
          <w:rFonts w:ascii="Times New Roman" w:eastAsia="Times New Roman" w:hAnsi="Times New Roman" w:cs="Times New Roman"/>
          <w:i/>
          <w:noProof/>
          <w:sz w:val="24"/>
          <w:szCs w:val="24"/>
          <w:lang w:val="sq-AL"/>
        </w:rPr>
        <w:t>Për procedurat standarde për monitorimin e buxhetit në njësitë e vetë-qeverisjes vendore".</w:t>
      </w:r>
      <w:r w:rsidRPr="00221487">
        <w:rPr>
          <w:rFonts w:ascii="Times New Roman" w:eastAsia="Times New Roman" w:hAnsi="Times New Roman" w:cs="Times New Roman"/>
          <w:i/>
          <w:noProof/>
          <w:sz w:val="24"/>
          <w:szCs w:val="24"/>
          <w:vertAlign w:val="superscript"/>
          <w:lang w:val="sq-AL"/>
        </w:rPr>
        <w:footnoteReference w:id="19"/>
      </w:r>
      <w:r w:rsidRPr="00221487">
        <w:rPr>
          <w:rFonts w:ascii="Times New Roman" w:eastAsia="Times New Roman" w:hAnsi="Times New Roman" w:cs="Times New Roman"/>
          <w:i/>
          <w:noProof/>
          <w:sz w:val="24"/>
          <w:szCs w:val="24"/>
          <w:lang w:val="sq-AL"/>
        </w:rPr>
        <w:t xml:space="preserve"> </w:t>
      </w:r>
      <w:r w:rsidRPr="00221487">
        <w:rPr>
          <w:rFonts w:ascii="Times New Roman" w:eastAsia="Times New Roman" w:hAnsi="Times New Roman" w:cs="Times New Roman"/>
          <w:noProof/>
          <w:sz w:val="24"/>
          <w:szCs w:val="24"/>
          <w:lang w:val="sq-AL"/>
        </w:rPr>
        <w:t xml:space="preserve">Qëllimi i këtij udhëzimi është të parashikojë procedura dhe afate kohore që duhet të respektojë qeverisja vendore për të monitoruar zbatimin e performancës financiare buxhetore, produktet dhe objektivat e politikës të realizuara për secilin program gjatë vitit buxhetor. </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Për më tepër, raportet tremujore të monitorimit të buxhetit për qeverinë vendore, janë përgatitur dhe janë botuar në faqen e internetit të MFE-së</w:t>
      </w:r>
      <w:r w:rsidRPr="00221487">
        <w:rPr>
          <w:rFonts w:ascii="Times New Roman" w:eastAsia="Times New Roman" w:hAnsi="Times New Roman" w:cs="Times New Roman"/>
          <w:noProof/>
          <w:sz w:val="24"/>
          <w:szCs w:val="24"/>
          <w:vertAlign w:val="superscript"/>
          <w:lang w:val="sq-AL"/>
        </w:rPr>
        <w:footnoteReference w:id="20"/>
      </w:r>
      <w:r w:rsidRPr="00221487">
        <w:rPr>
          <w:rFonts w:ascii="Times New Roman" w:eastAsia="Times New Roman" w:hAnsi="Times New Roman" w:cs="Times New Roman"/>
          <w:noProof/>
          <w:sz w:val="24"/>
          <w:szCs w:val="24"/>
          <w:lang w:val="sq-AL"/>
        </w:rPr>
        <w:t xml:space="preserve">. Një tjetër arritje është paraqitja e FPF që përmban formate të reja për përgatitjen e PBA-së në të gjitha NJQV-të. Ky mjet sjell formate të reja për përgatitjen e programit buxhetor afatmesëm dhe raportimin: </w:t>
      </w:r>
    </w:p>
    <w:p w:rsidR="00221487" w:rsidRPr="00221487" w:rsidRDefault="00221487" w:rsidP="007C6F79">
      <w:pPr>
        <w:numPr>
          <w:ilvl w:val="0"/>
          <w:numId w:val="32"/>
        </w:numPr>
        <w:spacing w:after="0" w:line="240" w:lineRule="auto"/>
        <w:contextualSpacing/>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Strukturë të qartë standarde për raportim;</w:t>
      </w:r>
    </w:p>
    <w:p w:rsidR="00221487" w:rsidRPr="00221487" w:rsidRDefault="00221487" w:rsidP="007C6F79">
      <w:pPr>
        <w:numPr>
          <w:ilvl w:val="0"/>
          <w:numId w:val="32"/>
        </w:numPr>
        <w:spacing w:after="0" w:line="240" w:lineRule="auto"/>
        <w:contextualSpacing/>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Tregon si të lidhen politikat me informacionin financiar;</w:t>
      </w:r>
    </w:p>
    <w:p w:rsidR="00221487" w:rsidRPr="00221487" w:rsidRDefault="00221487" w:rsidP="007C6F79">
      <w:pPr>
        <w:numPr>
          <w:ilvl w:val="0"/>
          <w:numId w:val="32"/>
        </w:numPr>
        <w:spacing w:after="0" w:line="240" w:lineRule="auto"/>
        <w:contextualSpacing/>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Vendos theksin mbi informacionin e dobishëm për të anëtarët e këshillit dhe qytetarë;</w:t>
      </w:r>
    </w:p>
    <w:p w:rsidR="00221487" w:rsidRPr="00221487" w:rsidRDefault="00221487" w:rsidP="007C6F79">
      <w:pPr>
        <w:numPr>
          <w:ilvl w:val="0"/>
          <w:numId w:val="32"/>
        </w:numPr>
        <w:spacing w:after="0" w:line="240" w:lineRule="auto"/>
        <w:contextualSpacing/>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Vë në dukje burimet e dobishme të informacionin për secilën nga pjesët e raportit të PBA;</w:t>
      </w:r>
    </w:p>
    <w:p w:rsidR="00221487" w:rsidRPr="00221487" w:rsidRDefault="00221487" w:rsidP="007C6F79">
      <w:pPr>
        <w:numPr>
          <w:ilvl w:val="0"/>
          <w:numId w:val="32"/>
        </w:numPr>
        <w:spacing w:after="0" w:line="240" w:lineRule="auto"/>
        <w:contextualSpacing/>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Ofron formate të thjeshta për paraqitjen e programeve; </w:t>
      </w:r>
    </w:p>
    <w:p w:rsidR="00221487" w:rsidRPr="00221487" w:rsidRDefault="00221487" w:rsidP="007C6F79">
      <w:pPr>
        <w:numPr>
          <w:ilvl w:val="0"/>
          <w:numId w:val="32"/>
        </w:numPr>
        <w:spacing w:after="0" w:line="240" w:lineRule="auto"/>
        <w:contextualSpacing/>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Përmban përshkrime të sakta standarde për secilin program dhe aktivitet; </w:t>
      </w:r>
    </w:p>
    <w:p w:rsidR="00221487" w:rsidRPr="00221487" w:rsidRDefault="00221487" w:rsidP="007C6F79">
      <w:pPr>
        <w:numPr>
          <w:ilvl w:val="0"/>
          <w:numId w:val="32"/>
        </w:numPr>
        <w:spacing w:after="0" w:line="240" w:lineRule="auto"/>
        <w:contextualSpacing/>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Tregon si të përdoret PBA-ja për monitorimin dhe raportimin e shkallës së zbatimit të strategjisë;</w:t>
      </w:r>
    </w:p>
    <w:p w:rsidR="00221487" w:rsidRPr="00221487" w:rsidRDefault="00221487" w:rsidP="00221487">
      <w:pPr>
        <w:widowControl w:val="0"/>
        <w:tabs>
          <w:tab w:val="left" w:pos="0"/>
        </w:tabs>
        <w:spacing w:after="0"/>
        <w:jc w:val="both"/>
        <w:outlineLvl w:val="0"/>
        <w:rPr>
          <w:rFonts w:ascii="Times New Roman" w:eastAsia="Times New Roman" w:hAnsi="Times New Roman" w:cs="Times New Roman"/>
          <w:bCs/>
          <w:noProof/>
          <w:sz w:val="24"/>
          <w:szCs w:val="24"/>
          <w:lang w:val="sq-AL" w:eastAsia="nl-NL"/>
        </w:rPr>
      </w:pPr>
      <w:bookmarkStart w:id="62" w:name="_Toc525910298"/>
      <w:bookmarkStart w:id="63" w:name="_Toc3984195"/>
      <w:bookmarkStart w:id="64" w:name="_Toc3984484"/>
      <w:r w:rsidRPr="00221487">
        <w:rPr>
          <w:rFonts w:ascii="Times New Roman" w:eastAsia="Times New Roman" w:hAnsi="Times New Roman" w:cs="Times New Roman"/>
          <w:b/>
          <w:bCs/>
          <w:noProof/>
          <w:sz w:val="24"/>
          <w:szCs w:val="24"/>
          <w:lang w:val="sq-AL" w:eastAsia="nl-NL"/>
        </w:rPr>
        <w:t xml:space="preserve">Shqipëria ka nxjerrë raportin për zbatimin e buxhetit për vitin 2017, i cili, edhe pse psë është përgatitur nga MFE-ja që prej muajit maj 2018, u aprovua nga Kuvendi në muajin korrik 2018. </w:t>
      </w:r>
      <w:bookmarkEnd w:id="62"/>
      <w:bookmarkEnd w:id="63"/>
      <w:bookmarkEnd w:id="64"/>
      <w:r w:rsidRPr="00221487">
        <w:rPr>
          <w:rFonts w:ascii="Times New Roman" w:eastAsia="Times New Roman" w:hAnsi="Times New Roman" w:cs="Times New Roman"/>
          <w:bCs/>
          <w:noProof/>
          <w:sz w:val="24"/>
          <w:szCs w:val="24"/>
          <w:lang w:val="sq-AL" w:eastAsia="nl-NL"/>
        </w:rPr>
        <w:t xml:space="preserve">Versioni aktual i raportit është një shtesë dhe përmirësim në krahasim me vitet e shkuara. Pjesë e zgjerimit të raportit është a) një aneks për zbatimin e dispozitave të rregullit fiskal të LOB gjatë ekzekutimit të buxhetit të vitit 2017. Aneksi analizon rregullat fiskale dhe shpjegon të gjitha përpjekjet e qeverisë qendrore për të ekzekutuar buxhetin sipas mënyrës së përshkruar në dispozita; b) një aneks mbi performancën e programeve kryesore të buxhetit të ministrive të linjës (në nivelin e rezultateve). Megjithëse informacioni i rezultateve nuk specifikon lidhjen i) me ofrimin e shërbimit dhe ii) rezultatet në lidhje me qëllimet e politikës më të lartë, ai paraqet një përmirësim të informacionit për ekzekutimin e buxhetit për publikun në përgjithësi; c) një aneks mbi të ardhurat fiskale të pushtetit vendor dhe kapacitetin e tyre fiskal, duke mbajtur parasysh dispozitat e reja mbi transfertat nga qeveria qendrore </w:t>
      </w:r>
      <w:r w:rsidRPr="00221487">
        <w:rPr>
          <w:rFonts w:ascii="Times New Roman" w:eastAsia="Times New Roman" w:hAnsi="Times New Roman" w:cs="Times New Roman"/>
          <w:bCs/>
          <w:noProof/>
          <w:sz w:val="24"/>
          <w:szCs w:val="24"/>
          <w:lang w:val="sq-AL" w:eastAsia="nl-NL"/>
        </w:rPr>
        <w:lastRenderedPageBreak/>
        <w:t>drejt pushtetit vendor, të përfshira në ligjin e ri të financave vendore.</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MS Mincho" w:hAnsi="Times New Roman" w:cs="Times New Roman"/>
          <w:noProof/>
          <w:sz w:val="24"/>
          <w:szCs w:val="24"/>
          <w:lang w:val="sq-AL"/>
        </w:rPr>
        <w:t>Raporti i mesvitit 2018, është raport që përgatitet çdo vit dhe mbulon performancën buxhetore dhe fiskale të gjysmës së parë të vitit</w:t>
      </w:r>
      <w:r w:rsidRPr="00221487">
        <w:rPr>
          <w:rFonts w:ascii="Times New Roman" w:eastAsia="MS Mincho" w:hAnsi="Times New Roman" w:cs="Times New Roman"/>
          <w:noProof/>
          <w:sz w:val="24"/>
          <w:szCs w:val="24"/>
          <w:vertAlign w:val="superscript"/>
          <w:lang w:val="sq-AL"/>
        </w:rPr>
        <w:footnoteReference w:id="21"/>
      </w:r>
      <w:r w:rsidRPr="00221487">
        <w:rPr>
          <w:rFonts w:ascii="Times New Roman" w:eastAsia="MS Mincho" w:hAnsi="Times New Roman" w:cs="Times New Roman"/>
          <w:noProof/>
          <w:sz w:val="24"/>
          <w:szCs w:val="24"/>
          <w:lang w:val="sq-AL"/>
        </w:rPr>
        <w:t>.</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p>
    <w:p w:rsidR="00221487" w:rsidRPr="00221487" w:rsidRDefault="00221487" w:rsidP="00221487">
      <w:pPr>
        <w:widowControl w:val="0"/>
        <w:tabs>
          <w:tab w:val="left" w:pos="0"/>
        </w:tabs>
        <w:spacing w:after="0"/>
        <w:jc w:val="both"/>
        <w:outlineLvl w:val="0"/>
        <w:rPr>
          <w:rFonts w:ascii="Times New Roman" w:eastAsia="Times New Roman" w:hAnsi="Times New Roman" w:cs="Times New Roman"/>
          <w:bCs/>
          <w:noProof/>
          <w:sz w:val="24"/>
          <w:szCs w:val="24"/>
          <w:lang w:val="sq-AL" w:eastAsia="nl-NL"/>
        </w:rPr>
      </w:pPr>
      <w:bookmarkStart w:id="65" w:name="_Toc525910317"/>
      <w:bookmarkStart w:id="66" w:name="_Toc3984196"/>
      <w:bookmarkStart w:id="67" w:name="_Toc3984485"/>
      <w:r w:rsidRPr="00221487">
        <w:rPr>
          <w:rFonts w:ascii="Times New Roman" w:eastAsia="Times New Roman" w:hAnsi="Times New Roman" w:cs="Times New Roman"/>
          <w:b/>
          <w:bCs/>
          <w:noProof/>
          <w:sz w:val="24"/>
          <w:szCs w:val="24"/>
          <w:lang w:val="sq-AL" w:eastAsia="nl-NL"/>
        </w:rPr>
        <w:t>Raportet për monitorimin e ekzekutimit të buxhetit nga ministritë e linjës janë përgatitur dhe janë botuar në faqen e internetit të MFE-së</w:t>
      </w:r>
      <w:r w:rsidRPr="00221487">
        <w:rPr>
          <w:rFonts w:ascii="Times New Roman" w:eastAsia="Times New Roman" w:hAnsi="Times New Roman" w:cs="Times New Roman"/>
          <w:b/>
          <w:noProof/>
          <w:sz w:val="24"/>
          <w:szCs w:val="24"/>
          <w:vertAlign w:val="superscript"/>
          <w:lang w:val="sq-AL" w:eastAsia="nl-NL"/>
        </w:rPr>
        <w:footnoteReference w:id="22"/>
      </w:r>
      <w:r w:rsidRPr="00221487">
        <w:rPr>
          <w:rFonts w:ascii="Times New Roman" w:eastAsia="Times New Roman" w:hAnsi="Times New Roman" w:cs="Times New Roman"/>
          <w:bCs/>
          <w:noProof/>
          <w:sz w:val="24"/>
          <w:szCs w:val="24"/>
          <w:lang w:val="sq-AL" w:eastAsia="nl-NL"/>
        </w:rPr>
        <w:t>. Deri tani këto raporte mbulojnë katër muajt e parë të vitit 2018 (janar – prill 2018), dhe katërmujorin e dytë të vitit 2018 (maj - gusht 2018) ndërsa për katërmujorin e radhës (shtator-dhjetor 2018) raporti pritet të botohet së shpejti.</w:t>
      </w:r>
      <w:bookmarkEnd w:id="65"/>
      <w:bookmarkEnd w:id="66"/>
      <w:bookmarkEnd w:id="67"/>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b/>
          <w:bCs/>
          <w:noProof/>
          <w:sz w:val="24"/>
          <w:szCs w:val="24"/>
          <w:lang w:val="sq-AL" w:eastAsia="nl-NL"/>
        </w:rPr>
        <w:t xml:space="preserve">Transparenca buxhetore është përmirësuar si nga pikëpamja e sasisë dhe rëndësisë së informacionit si në nivel qendror dhe vendor për periudhën janar – gusht 2018.  </w:t>
      </w:r>
      <w:r w:rsidRPr="00221487">
        <w:rPr>
          <w:rFonts w:ascii="Times New Roman" w:eastAsia="Times New Roman" w:hAnsi="Times New Roman" w:cs="Times New Roman"/>
          <w:bCs/>
          <w:noProof/>
          <w:sz w:val="24"/>
          <w:szCs w:val="24"/>
          <w:lang w:val="sq-AL" w:eastAsia="nl-NL"/>
        </w:rPr>
        <w:t xml:space="preserve">Informacioni i përfshirë në raportet e mesvitit dhe fundvitit për zbatimin e buxhetit i korespondon praktikave më të mira dhe rekomandimeve të standardeve ndërkombëtare në këtë fushë. </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p>
    <w:p w:rsidR="00221487" w:rsidRPr="00221487" w:rsidRDefault="00221487" w:rsidP="00221487">
      <w:pPr>
        <w:spacing w:after="0" w:line="240" w:lineRule="auto"/>
        <w:jc w:val="both"/>
        <w:rPr>
          <w:rFonts w:ascii="Times New Roman" w:eastAsia="Times New Roman" w:hAnsi="Times New Roman" w:cs="Times New Roman"/>
          <w:b/>
          <w:noProof/>
          <w:sz w:val="24"/>
          <w:szCs w:val="24"/>
          <w:lang w:val="sq-AL"/>
        </w:rPr>
      </w:pPr>
      <w:r w:rsidRPr="00221487">
        <w:rPr>
          <w:rFonts w:ascii="Times New Roman" w:eastAsia="Times" w:hAnsi="Times New Roman" w:cs="Times New Roman"/>
          <w:b/>
          <w:noProof/>
          <w:sz w:val="24"/>
          <w:szCs w:val="24"/>
          <w:lang w:val="sq-AL"/>
        </w:rPr>
        <w:t>Masa 2: Përmirësimi i aksesit në të dhënat financiare dhe operacionet qeveritare (në proces/sipas planit</w:t>
      </w:r>
      <w:r w:rsidRPr="00221487">
        <w:rPr>
          <w:rFonts w:ascii="Times New Roman" w:eastAsia="Times New Roman" w:hAnsi="Times New Roman" w:cs="Times New Roman"/>
          <w:b/>
          <w:noProof/>
          <w:sz w:val="24"/>
          <w:szCs w:val="24"/>
          <w:lang w:val="sq-AL"/>
        </w:rPr>
        <w:t>)</w:t>
      </w:r>
    </w:p>
    <w:p w:rsidR="00221487" w:rsidRPr="00221487" w:rsidRDefault="00221487" w:rsidP="00221487">
      <w:pPr>
        <w:spacing w:after="0" w:line="240" w:lineRule="auto"/>
        <w:jc w:val="both"/>
        <w:rPr>
          <w:rFonts w:ascii="Times New Roman" w:eastAsia="Times New Roman" w:hAnsi="Times New Roman" w:cs="Times New Roman"/>
          <w:bCs/>
          <w:noProof/>
          <w:sz w:val="24"/>
          <w:szCs w:val="24"/>
          <w:lang w:val="sq-AL" w:eastAsia="nl-NL"/>
        </w:rPr>
      </w:pPr>
    </w:p>
    <w:p w:rsidR="00221487" w:rsidRPr="00221487" w:rsidRDefault="00221487" w:rsidP="00221487">
      <w:pPr>
        <w:spacing w:after="0" w:line="240" w:lineRule="auto"/>
        <w:jc w:val="both"/>
        <w:rPr>
          <w:rFonts w:ascii="Times New Roman" w:eastAsia="Times New Roman" w:hAnsi="Times New Roman" w:cs="Times New Roman"/>
          <w:bCs/>
          <w:noProof/>
          <w:sz w:val="24"/>
          <w:szCs w:val="24"/>
          <w:lang w:val="sq-AL" w:eastAsia="nl-NL"/>
        </w:rPr>
      </w:pPr>
      <w:r w:rsidRPr="00221487">
        <w:rPr>
          <w:rFonts w:ascii="Times New Roman" w:eastAsia="Times New Roman" w:hAnsi="Times New Roman" w:cs="Times New Roman"/>
          <w:bCs/>
          <w:noProof/>
          <w:sz w:val="24"/>
          <w:szCs w:val="24"/>
          <w:lang w:val="sq-AL" w:eastAsia="nl-NL"/>
        </w:rPr>
        <w:t>Është përmirësuar disponueshmëria e informacionit:</w:t>
      </w:r>
    </w:p>
    <w:p w:rsidR="00221487" w:rsidRPr="00221487" w:rsidRDefault="00221487" w:rsidP="00221487">
      <w:pPr>
        <w:spacing w:after="0" w:line="240" w:lineRule="auto"/>
        <w:jc w:val="both"/>
        <w:rPr>
          <w:rFonts w:ascii="Times New Roman" w:eastAsia="Times New Roman" w:hAnsi="Times New Roman" w:cs="Times New Roman"/>
          <w:bCs/>
          <w:noProof/>
          <w:sz w:val="24"/>
          <w:szCs w:val="24"/>
          <w:lang w:val="sq-AL" w:eastAsia="nl-NL"/>
        </w:rPr>
      </w:pPr>
      <w:r w:rsidRPr="00221487">
        <w:rPr>
          <w:rFonts w:ascii="Times New Roman" w:eastAsia="Times New Roman" w:hAnsi="Times New Roman" w:cs="Times New Roman"/>
          <w:bCs/>
          <w:noProof/>
          <w:sz w:val="24"/>
          <w:szCs w:val="24"/>
          <w:lang w:val="sq-AL" w:eastAsia="nl-NL"/>
        </w:rPr>
        <w:tab/>
        <w:t xml:space="preserve">•në nivel qendror, me lançimin e bazës të të dhënave BOOST </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bCs/>
          <w:noProof/>
          <w:sz w:val="24"/>
          <w:szCs w:val="24"/>
          <w:lang w:val="sq-AL" w:eastAsia="nl-NL"/>
        </w:rPr>
        <w:tab/>
        <w:t xml:space="preserve">•në nivel lokal, me informacion të përditësuar mbi të dhënat në nivel bashkish individualisht dhe për qeverisjen vendore si pjesë e portalit për financat vendore.  </w:t>
      </w:r>
    </w:p>
    <w:p w:rsidR="00221487" w:rsidRPr="00221487" w:rsidRDefault="00221487" w:rsidP="00221487">
      <w:pPr>
        <w:spacing w:after="0" w:line="240" w:lineRule="auto"/>
        <w:jc w:val="both"/>
        <w:rPr>
          <w:rFonts w:ascii="Times New Roman" w:eastAsia="Times" w:hAnsi="Times New Roman" w:cs="Times New Roman"/>
          <w:b/>
          <w:noProof/>
          <w:sz w:val="24"/>
          <w:szCs w:val="24"/>
          <w:lang w:val="sq-AL"/>
        </w:rPr>
      </w:pPr>
    </w:p>
    <w:p w:rsidR="00221487" w:rsidRPr="00221487" w:rsidRDefault="00221487" w:rsidP="00221487">
      <w:pPr>
        <w:widowControl w:val="0"/>
        <w:tabs>
          <w:tab w:val="left" w:pos="0"/>
        </w:tabs>
        <w:spacing w:after="0"/>
        <w:jc w:val="both"/>
        <w:outlineLvl w:val="0"/>
        <w:rPr>
          <w:rFonts w:ascii="Times New Roman" w:eastAsia="Times New Roman" w:hAnsi="Times New Roman" w:cs="Times New Roman"/>
          <w:noProof/>
          <w:sz w:val="24"/>
          <w:szCs w:val="24"/>
          <w:lang w:val="sq-AL"/>
        </w:rPr>
      </w:pPr>
      <w:bookmarkStart w:id="68" w:name="_Toc3984197"/>
      <w:bookmarkStart w:id="69" w:name="_Toc3984486"/>
      <w:bookmarkStart w:id="70" w:name="_Toc525910312"/>
      <w:bookmarkStart w:id="71" w:name="_Toc525910316"/>
      <w:r w:rsidRPr="00221487">
        <w:rPr>
          <w:rFonts w:ascii="Times New Roman" w:eastAsia="Times New Roman" w:hAnsi="Times New Roman" w:cs="Times New Roman"/>
          <w:noProof/>
          <w:sz w:val="24"/>
          <w:szCs w:val="24"/>
          <w:lang w:val="sq-AL"/>
        </w:rPr>
        <w:t>MFE-ja është asistuar nga nisma BOOST, një nismë në bashkëpunim me BB-në për të lehtësuar aksesin në të dhënat buxhetore dhe promovimin e përdorimit efektiv për përmirësimin e proceseve vendimmarrëse, transparencës dhe llogaridhënies. Nisma BOOST është një platformë e cila jep të dhëna nga sistemi i thesarit.</w:t>
      </w:r>
      <w:bookmarkEnd w:id="68"/>
      <w:bookmarkEnd w:id="69"/>
      <w:r w:rsidRPr="00221487">
        <w:rPr>
          <w:rFonts w:ascii="Times New Roman" w:eastAsia="Times New Roman" w:hAnsi="Times New Roman" w:cs="Times New Roman"/>
          <w:noProof/>
          <w:sz w:val="24"/>
          <w:szCs w:val="24"/>
          <w:lang w:val="sq-AL"/>
        </w:rPr>
        <w:t xml:space="preserve"> </w:t>
      </w:r>
    </w:p>
    <w:p w:rsidR="00221487" w:rsidRPr="00221487" w:rsidRDefault="00221487" w:rsidP="00221487">
      <w:pPr>
        <w:widowControl w:val="0"/>
        <w:tabs>
          <w:tab w:val="left" w:pos="0"/>
        </w:tabs>
        <w:spacing w:after="0"/>
        <w:jc w:val="both"/>
        <w:outlineLvl w:val="0"/>
        <w:rPr>
          <w:rFonts w:ascii="Times New Roman" w:eastAsia="Times New Roman" w:hAnsi="Times New Roman" w:cs="Times New Roman"/>
          <w:noProof/>
          <w:sz w:val="24"/>
          <w:szCs w:val="24"/>
          <w:lang w:val="sq-AL"/>
        </w:rPr>
      </w:pPr>
      <w:bookmarkStart w:id="72" w:name="_Toc3984198"/>
      <w:bookmarkStart w:id="73" w:name="_Toc3984487"/>
      <w:r w:rsidRPr="00221487">
        <w:rPr>
          <w:rFonts w:ascii="Times New Roman" w:eastAsia="Times New Roman" w:hAnsi="Times New Roman" w:cs="Times New Roman"/>
          <w:noProof/>
          <w:sz w:val="24"/>
          <w:szCs w:val="24"/>
          <w:lang w:val="sq-AL"/>
        </w:rPr>
        <w:t>BB-ja i ka dhënë akses në aplikacionin BOOST të gjithë palëve të interesuara dhe organeve jo-qeveritare si dhe u organizua një aktivitetet për këtë qëllim në muajin mars 2018. Aplikacioni Boost gjendet në faqen e MFE-së që prej muajit prill 2018.</w:t>
      </w:r>
      <w:r w:rsidRPr="00221487">
        <w:rPr>
          <w:rFonts w:ascii="Times New Roman" w:eastAsia="Times New Roman" w:hAnsi="Times New Roman" w:cs="Times New Roman"/>
          <w:noProof/>
          <w:sz w:val="24"/>
          <w:szCs w:val="24"/>
          <w:vertAlign w:val="superscript"/>
          <w:lang w:val="sq-AL"/>
        </w:rPr>
        <w:footnoteReference w:id="23"/>
      </w:r>
      <w:bookmarkEnd w:id="72"/>
      <w:bookmarkEnd w:id="73"/>
    </w:p>
    <w:p w:rsidR="00221487" w:rsidRPr="00221487" w:rsidRDefault="00221487" w:rsidP="00221487">
      <w:pPr>
        <w:widowControl w:val="0"/>
        <w:tabs>
          <w:tab w:val="left" w:pos="0"/>
        </w:tabs>
        <w:spacing w:after="0"/>
        <w:jc w:val="both"/>
        <w:outlineLvl w:val="0"/>
        <w:rPr>
          <w:rFonts w:ascii="Times New Roman" w:eastAsia="Times New Roman" w:hAnsi="Times New Roman" w:cs="Times New Roman"/>
          <w:noProof/>
          <w:sz w:val="24"/>
          <w:szCs w:val="24"/>
          <w:lang w:val="sq-AL"/>
        </w:rPr>
      </w:pPr>
      <w:bookmarkStart w:id="74" w:name="_Toc3984199"/>
      <w:bookmarkStart w:id="75" w:name="_Toc3984488"/>
      <w:r w:rsidRPr="00221487">
        <w:rPr>
          <w:rFonts w:ascii="Times New Roman" w:eastAsia="Times New Roman" w:hAnsi="Times New Roman" w:cs="Times New Roman"/>
          <w:bCs/>
          <w:noProof/>
          <w:sz w:val="24"/>
          <w:szCs w:val="24"/>
          <w:lang w:val="sq-AL"/>
        </w:rPr>
        <w:t>Baza e të dhënave BOOST është publikuar dhe është tërësisht funksionale me të dhënat për vitin 2010-2018 si për shpenzimet dhe të ardhurat në 5 nivele të raportimit</w:t>
      </w:r>
      <w:r w:rsidRPr="00221487">
        <w:rPr>
          <w:rFonts w:ascii="Times New Roman" w:eastAsia="Times New Roman" w:hAnsi="Times New Roman" w:cs="Times New Roman"/>
          <w:bCs/>
          <w:noProof/>
          <w:sz w:val="24"/>
          <w:szCs w:val="24"/>
          <w:vertAlign w:val="superscript"/>
          <w:lang w:val="sq-AL"/>
        </w:rPr>
        <w:footnoteReference w:id="24"/>
      </w:r>
      <w:r w:rsidRPr="00221487">
        <w:rPr>
          <w:rFonts w:ascii="Times New Roman" w:eastAsia="Times New Roman" w:hAnsi="Times New Roman" w:cs="Times New Roman"/>
          <w:bCs/>
          <w:noProof/>
          <w:sz w:val="24"/>
          <w:szCs w:val="24"/>
          <w:lang w:val="sq-AL"/>
        </w:rPr>
        <w:t xml:space="preserve"> dhe në një nivel deri në 7 shifra që është niveli i transaksioneve si për shpenzimet dhe për të ardhurat në Shqipëri. BOOST ofron informacion kuptimplotë që mund të paraqitet ose në formë tabele ose në formë dinamike (pivot) </w:t>
      </w:r>
      <w:bookmarkStart w:id="76" w:name="_Toc525910313"/>
      <w:bookmarkEnd w:id="70"/>
      <w:r w:rsidRPr="00221487">
        <w:rPr>
          <w:rFonts w:ascii="Times New Roman" w:eastAsia="Times New Roman" w:hAnsi="Times New Roman" w:cs="Times New Roman"/>
          <w:bCs/>
          <w:noProof/>
          <w:sz w:val="24"/>
          <w:szCs w:val="24"/>
          <w:lang w:val="sq-AL"/>
        </w:rPr>
        <w:t xml:space="preserve">për qëllime të ndryshme: për shpenzimet jep të dhënat për shpenzimet fillestare, të rishikuara dhe korente; për shpenzimet kapitale jep të dhëna në nivel projekti për të gjithë projektet e investimeve publike përfshirë PPT-të, për të cilat ka </w:t>
      </w:r>
      <w:bookmarkEnd w:id="76"/>
      <w:r w:rsidRPr="00221487">
        <w:rPr>
          <w:rFonts w:ascii="Times New Roman" w:eastAsia="Times New Roman" w:hAnsi="Times New Roman" w:cs="Times New Roman"/>
          <w:bCs/>
          <w:noProof/>
          <w:sz w:val="24"/>
          <w:szCs w:val="24"/>
          <w:lang w:val="sq-AL"/>
        </w:rPr>
        <w:t xml:space="preserve">kosto kombëtare; </w:t>
      </w:r>
      <w:bookmarkStart w:id="77" w:name="_Toc525910314"/>
      <w:r w:rsidRPr="00221487">
        <w:rPr>
          <w:rFonts w:ascii="Times New Roman" w:eastAsia="Times New Roman" w:hAnsi="Times New Roman" w:cs="Times New Roman"/>
          <w:bCs/>
          <w:noProof/>
          <w:sz w:val="24"/>
          <w:szCs w:val="24"/>
          <w:lang w:val="sq-AL"/>
        </w:rPr>
        <w:t>për të ardhurat, përmban të dhëna për të gjitha llojet e të ardhurave në nivel qendror dhe vendor.</w:t>
      </w:r>
      <w:bookmarkEnd w:id="74"/>
      <w:bookmarkEnd w:id="75"/>
      <w:bookmarkEnd w:id="77"/>
    </w:p>
    <w:p w:rsidR="00221487" w:rsidRPr="00221487" w:rsidRDefault="00221487" w:rsidP="00221487">
      <w:pPr>
        <w:widowControl w:val="0"/>
        <w:tabs>
          <w:tab w:val="left" w:pos="0"/>
        </w:tabs>
        <w:spacing w:after="0"/>
        <w:jc w:val="both"/>
        <w:outlineLvl w:val="0"/>
        <w:rPr>
          <w:rFonts w:ascii="Times New Roman" w:eastAsia="Times New Roman" w:hAnsi="Times New Roman" w:cs="Times New Roman"/>
          <w:bCs/>
          <w:noProof/>
          <w:sz w:val="24"/>
          <w:szCs w:val="24"/>
          <w:lang w:val="sq-AL" w:eastAsia="nl-NL"/>
        </w:rPr>
      </w:pPr>
      <w:bookmarkStart w:id="78" w:name="_Toc3984200"/>
      <w:bookmarkStart w:id="79" w:name="_Toc3984489"/>
      <w:r w:rsidRPr="00221487">
        <w:rPr>
          <w:rFonts w:ascii="Times New Roman" w:eastAsia="Times New Roman" w:hAnsi="Times New Roman" w:cs="Times New Roman"/>
          <w:bCs/>
          <w:noProof/>
          <w:sz w:val="24"/>
          <w:szCs w:val="24"/>
          <w:lang w:val="sq-AL" w:eastAsia="nl-NL"/>
        </w:rPr>
        <w:t xml:space="preserve">Portali i financave vendore vazhdon të botojë të dhëna për financat vendore dhe përditësohet me të </w:t>
      </w:r>
      <w:r w:rsidRPr="00221487">
        <w:rPr>
          <w:rFonts w:ascii="Times New Roman" w:eastAsia="Times New Roman" w:hAnsi="Times New Roman" w:cs="Times New Roman"/>
          <w:bCs/>
          <w:noProof/>
          <w:sz w:val="24"/>
          <w:szCs w:val="24"/>
          <w:lang w:val="sq-AL" w:eastAsia="nl-NL"/>
        </w:rPr>
        <w:lastRenderedPageBreak/>
        <w:t>dhëna për të ardhurat dhe shpenzimet deri në tremujorin e katërt të vitit 2018</w:t>
      </w:r>
      <w:r w:rsidRPr="00221487">
        <w:rPr>
          <w:rFonts w:ascii="Times New Roman" w:eastAsia="Times New Roman" w:hAnsi="Times New Roman" w:cs="Times New Roman"/>
          <w:b/>
          <w:noProof/>
          <w:sz w:val="24"/>
          <w:szCs w:val="24"/>
          <w:vertAlign w:val="superscript"/>
          <w:lang w:val="sq-AL" w:eastAsia="nl-NL"/>
        </w:rPr>
        <w:footnoteReference w:id="25"/>
      </w:r>
      <w:r w:rsidRPr="00221487">
        <w:rPr>
          <w:rFonts w:ascii="Times New Roman" w:eastAsia="Times New Roman" w:hAnsi="Times New Roman" w:cs="Times New Roman"/>
          <w:b/>
          <w:bCs/>
          <w:noProof/>
          <w:sz w:val="24"/>
          <w:szCs w:val="24"/>
          <w:lang w:val="sq-AL" w:eastAsia="nl-NL"/>
        </w:rPr>
        <w:t xml:space="preserve"> </w:t>
      </w:r>
      <w:r w:rsidRPr="00221487">
        <w:rPr>
          <w:rFonts w:ascii="Times New Roman" w:eastAsia="Times New Roman" w:hAnsi="Times New Roman" w:cs="Times New Roman"/>
          <w:bCs/>
          <w:noProof/>
          <w:sz w:val="24"/>
          <w:szCs w:val="24"/>
          <w:lang w:val="sq-AL" w:eastAsia="nl-NL"/>
        </w:rPr>
        <w:t>për njësitë e qeverisjes vendore individualisht dhe në veçanti.</w:t>
      </w:r>
      <w:bookmarkEnd w:id="78"/>
      <w:bookmarkEnd w:id="79"/>
      <w:r w:rsidRPr="00221487">
        <w:rPr>
          <w:rFonts w:ascii="Times New Roman" w:eastAsia="Times New Roman" w:hAnsi="Times New Roman" w:cs="Times New Roman"/>
          <w:bCs/>
          <w:noProof/>
          <w:sz w:val="24"/>
          <w:szCs w:val="24"/>
          <w:lang w:val="sq-AL" w:eastAsia="nl-NL"/>
        </w:rPr>
        <w:t xml:space="preserve"> </w:t>
      </w:r>
      <w:bookmarkEnd w:id="71"/>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p>
    <w:p w:rsidR="00221487" w:rsidRPr="00221487" w:rsidRDefault="00221487" w:rsidP="00221487">
      <w:pPr>
        <w:spacing w:after="0" w:line="240" w:lineRule="auto"/>
        <w:ind w:left="1"/>
        <w:rPr>
          <w:rFonts w:ascii="Times New Roman" w:eastAsia="Times New Roman" w:hAnsi="Times New Roman" w:cs="Times New Roman"/>
          <w:noProof/>
          <w:sz w:val="24"/>
          <w:szCs w:val="24"/>
          <w:lang w:val="sq-AL"/>
        </w:rPr>
      </w:pPr>
    </w:p>
    <w:p w:rsidR="00221487" w:rsidRPr="00221487" w:rsidRDefault="00221487" w:rsidP="00221487">
      <w:pPr>
        <w:keepNext/>
        <w:spacing w:after="0" w:line="240" w:lineRule="auto"/>
        <w:jc w:val="both"/>
        <w:outlineLvl w:val="1"/>
        <w:rPr>
          <w:rFonts w:ascii="Times New Roman" w:eastAsia="Times" w:hAnsi="Times New Roman" w:cs="Times New Roman"/>
          <w:b/>
          <w:bCs/>
          <w:noProof/>
          <w:sz w:val="24"/>
          <w:szCs w:val="24"/>
          <w:lang w:val="sq-AL"/>
        </w:rPr>
      </w:pPr>
      <w:bookmarkStart w:id="80" w:name="_Toc3984490"/>
      <w:bookmarkStart w:id="81" w:name="_Hlk15401535"/>
      <w:r w:rsidRPr="00221487">
        <w:rPr>
          <w:rFonts w:ascii="Times New Roman" w:eastAsia="Times" w:hAnsi="Times New Roman" w:cs="Times New Roman"/>
          <w:b/>
          <w:bCs/>
          <w:noProof/>
          <w:sz w:val="24"/>
          <w:szCs w:val="24"/>
          <w:lang w:val="sq-AL"/>
        </w:rPr>
        <w:t>3.5.</w:t>
      </w:r>
      <w:r w:rsidRPr="00221487">
        <w:rPr>
          <w:rFonts w:ascii="Arial" w:eastAsia="Arial" w:hAnsi="Arial" w:cs="Arial"/>
          <w:b/>
          <w:bCs/>
          <w:noProof/>
          <w:sz w:val="24"/>
          <w:szCs w:val="24"/>
          <w:lang w:val="sq-AL"/>
        </w:rPr>
        <w:t xml:space="preserve"> </w:t>
      </w:r>
      <w:r w:rsidRPr="00221487">
        <w:rPr>
          <w:rFonts w:ascii="Times New Roman" w:eastAsia="Times" w:hAnsi="Times New Roman" w:cs="Times New Roman"/>
          <w:b/>
          <w:bCs/>
          <w:noProof/>
          <w:sz w:val="24"/>
          <w:szCs w:val="24"/>
          <w:lang w:val="sq-AL"/>
        </w:rPr>
        <w:t xml:space="preserve">Shtylla 5- </w:t>
      </w:r>
      <w:bookmarkEnd w:id="80"/>
      <w:r w:rsidRPr="00221487">
        <w:rPr>
          <w:rFonts w:ascii="Times New Roman" w:eastAsia="Times" w:hAnsi="Times New Roman" w:cs="Times New Roman"/>
          <w:b/>
          <w:bCs/>
          <w:noProof/>
          <w:sz w:val="24"/>
          <w:szCs w:val="24"/>
          <w:lang w:val="sq-AL"/>
        </w:rPr>
        <w:t xml:space="preserve">Kontroll i brendshëm efektiv  </w:t>
      </w:r>
    </w:p>
    <w:p w:rsidR="00221487" w:rsidRPr="00221487" w:rsidRDefault="00221487" w:rsidP="00221487">
      <w:pPr>
        <w:spacing w:after="0" w:line="240" w:lineRule="auto"/>
        <w:ind w:left="1"/>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 </w:t>
      </w:r>
    </w:p>
    <w:p w:rsidR="00221487" w:rsidRPr="00221487" w:rsidRDefault="00221487" w:rsidP="00221487">
      <w:pPr>
        <w:spacing w:after="0" w:line="240" w:lineRule="auto"/>
        <w:ind w:left="1092"/>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3.5.1.</w:t>
      </w:r>
      <w:r w:rsidRPr="00221487">
        <w:rPr>
          <w:rFonts w:ascii="Arial" w:eastAsia="Arial" w:hAnsi="Arial" w:cs="Arial"/>
          <w:noProof/>
          <w:sz w:val="24"/>
          <w:szCs w:val="24"/>
          <w:lang w:val="sq-AL"/>
        </w:rPr>
        <w:t xml:space="preserve"> </w:t>
      </w:r>
      <w:r w:rsidRPr="00221487">
        <w:rPr>
          <w:rFonts w:ascii="Times New Roman" w:eastAsia="Times New Roman" w:hAnsi="Times New Roman" w:cs="Times New Roman"/>
          <w:noProof/>
          <w:sz w:val="24"/>
          <w:szCs w:val="24"/>
          <w:lang w:val="sq-AL"/>
        </w:rPr>
        <w:t xml:space="preserve">Përmbledhje e progresit së Shtyllës 5  </w:t>
      </w:r>
    </w:p>
    <w:p w:rsidR="00221487" w:rsidRPr="00221487" w:rsidRDefault="00221487" w:rsidP="00221487">
      <w:pPr>
        <w:spacing w:after="0" w:line="240" w:lineRule="auto"/>
        <w:ind w:left="1"/>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 </w:t>
      </w:r>
    </w:p>
    <w:p w:rsidR="00221487" w:rsidRPr="00221487" w:rsidRDefault="00221487" w:rsidP="00221487">
      <w:pPr>
        <w:spacing w:after="2"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Shtylla 5 përbëhet nga dy objektiva. </w:t>
      </w:r>
      <w:r w:rsidRPr="00221487">
        <w:rPr>
          <w:rFonts w:ascii="Times New Roman" w:eastAsia="Times New Roman" w:hAnsi="Times New Roman" w:cs="Times New Roman"/>
          <w:b/>
          <w:noProof/>
          <w:sz w:val="24"/>
          <w:szCs w:val="24"/>
          <w:lang w:val="sq-AL"/>
        </w:rPr>
        <w:t>Objektivi 1</w:t>
      </w:r>
      <w:r w:rsidRPr="00221487">
        <w:rPr>
          <w:rFonts w:ascii="Times New Roman" w:eastAsia="Times New Roman" w:hAnsi="Times New Roman" w:cs="Times New Roman"/>
          <w:noProof/>
          <w:sz w:val="24"/>
          <w:szCs w:val="24"/>
          <w:lang w:val="sq-AL"/>
        </w:rPr>
        <w:t xml:space="preserve"> i Shtyllës 5 është: “</w:t>
      </w:r>
      <w:r w:rsidRPr="00221487">
        <w:rPr>
          <w:rFonts w:ascii="Times New Roman" w:eastAsia="Times New Roman" w:hAnsi="Times New Roman" w:cs="Times New Roman"/>
          <w:i/>
          <w:noProof/>
          <w:sz w:val="24"/>
          <w:szCs w:val="24"/>
          <w:lang w:val="sq-AL"/>
        </w:rPr>
        <w:t xml:space="preserve">Llogaridhënie menaxheriale efektive në njësitë e qeverisjes qendrore dhe vendore. Zbatimi i suksesshëm i praktikave moderne të menaxhimit në të gjithë institucionet e qeverisjes qendrore dhe vendore”.  </w:t>
      </w:r>
      <w:r w:rsidRPr="00221487">
        <w:rPr>
          <w:rFonts w:ascii="Times New Roman" w:eastAsia="Times New Roman" w:hAnsi="Times New Roman" w:cs="Times New Roman"/>
          <w:noProof/>
          <w:sz w:val="24"/>
          <w:szCs w:val="24"/>
          <w:lang w:val="sq-AL"/>
        </w:rPr>
        <w:t xml:space="preserve">Tregusi i rezultatit </w:t>
      </w:r>
      <w:r w:rsidRPr="00221487">
        <w:rPr>
          <w:rFonts w:ascii="Times New Roman" w:eastAsia="Times New Roman" w:hAnsi="Times New Roman" w:cs="Times New Roman"/>
          <w:b/>
          <w:noProof/>
          <w:sz w:val="24"/>
          <w:szCs w:val="24"/>
          <w:lang w:val="sq-AL"/>
        </w:rPr>
        <w:t>nuk u përmbush</w:t>
      </w:r>
      <w:r w:rsidRPr="00221487">
        <w:rPr>
          <w:rFonts w:ascii="Times New Roman" w:eastAsia="Times New Roman" w:hAnsi="Times New Roman" w:cs="Times New Roman"/>
          <w:noProof/>
          <w:sz w:val="24"/>
          <w:szCs w:val="24"/>
          <w:lang w:val="sq-AL"/>
        </w:rPr>
        <w:t>:  “</w:t>
      </w:r>
      <w:r w:rsidRPr="00221487">
        <w:rPr>
          <w:rFonts w:ascii="Times New Roman" w:eastAsia="Times New Roman" w:hAnsi="Times New Roman" w:cs="Times New Roman"/>
          <w:i/>
          <w:noProof/>
          <w:sz w:val="24"/>
          <w:szCs w:val="24"/>
          <w:lang w:val="sq-AL"/>
        </w:rPr>
        <w:t>100% e njësive buxhetore do të përdorin kërkesat e MFK-së për të përmirësuar sistemet e kontrollit të brendshëm dhe për të arritur objektivat dhe rezultatet</w:t>
      </w:r>
      <w:r w:rsidRPr="00221487">
        <w:rPr>
          <w:rFonts w:ascii="Times New Roman" w:eastAsia="Times New Roman" w:hAnsi="Times New Roman" w:cs="Times New Roman"/>
          <w:noProof/>
          <w:sz w:val="24"/>
          <w:szCs w:val="24"/>
          <w:lang w:val="sq-AL"/>
        </w:rPr>
        <w:t>” për shkak të tendencës në rënie krahasuar me vitin  2017</w:t>
      </w:r>
      <w:r w:rsidRPr="00221487">
        <w:rPr>
          <w:rFonts w:ascii="Times New Roman" w:eastAsia="Times New Roman" w:hAnsi="Times New Roman" w:cs="Times New Roman"/>
          <w:noProof/>
          <w:sz w:val="24"/>
          <w:szCs w:val="24"/>
          <w:vertAlign w:val="superscript"/>
          <w:lang w:val="sq-AL"/>
        </w:rPr>
        <w:footnoteReference w:id="26"/>
      </w:r>
      <w:r w:rsidRPr="00221487">
        <w:rPr>
          <w:rFonts w:ascii="Times New Roman" w:eastAsia="Times New Roman" w:hAnsi="Times New Roman" w:cs="Times New Roman"/>
          <w:noProof/>
          <w:sz w:val="24"/>
          <w:szCs w:val="24"/>
          <w:lang w:val="sq-AL"/>
        </w:rPr>
        <w:t xml:space="preserve">. </w:t>
      </w:r>
    </w:p>
    <w:p w:rsidR="00221487" w:rsidRPr="00221487" w:rsidRDefault="00221487" w:rsidP="00221487">
      <w:pPr>
        <w:spacing w:after="9" w:line="240" w:lineRule="auto"/>
        <w:ind w:left="1"/>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 </w:t>
      </w:r>
    </w:p>
    <w:p w:rsidR="00221487" w:rsidRPr="00221487" w:rsidRDefault="00221487" w:rsidP="00221487">
      <w:pPr>
        <w:spacing w:after="2"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b/>
          <w:noProof/>
          <w:sz w:val="24"/>
          <w:szCs w:val="24"/>
          <w:lang w:val="sq-AL"/>
        </w:rPr>
        <w:t>Objektivi 2</w:t>
      </w:r>
      <w:r w:rsidRPr="00221487">
        <w:rPr>
          <w:rFonts w:ascii="Times New Roman" w:eastAsia="Times New Roman" w:hAnsi="Times New Roman" w:cs="Times New Roman"/>
          <w:noProof/>
          <w:sz w:val="24"/>
          <w:szCs w:val="24"/>
          <w:lang w:val="sq-AL"/>
        </w:rPr>
        <w:t xml:space="preserve"> i Shtyllës 5 është: “</w:t>
      </w:r>
      <w:r w:rsidRPr="00221487">
        <w:rPr>
          <w:rFonts w:ascii="Times New Roman" w:eastAsia="Times New Roman" w:hAnsi="Times New Roman" w:cs="Times New Roman"/>
          <w:i/>
          <w:noProof/>
          <w:sz w:val="24"/>
          <w:szCs w:val="24"/>
          <w:lang w:val="sq-AL"/>
        </w:rPr>
        <w:t xml:space="preserve">Mirëfunksionimi dhe funksioni efikas i AB-së në sektorin publik </w:t>
      </w:r>
      <w:r w:rsidRPr="00221487">
        <w:rPr>
          <w:rFonts w:ascii="Times New Roman" w:eastAsia="Times New Roman" w:hAnsi="Times New Roman" w:cs="Times New Roman"/>
          <w:noProof/>
          <w:sz w:val="24"/>
          <w:szCs w:val="24"/>
          <w:lang w:val="sq-AL"/>
        </w:rPr>
        <w:t>” dhe ka tre tregues rezultati. Treguesi i rezultatit: “</w:t>
      </w:r>
      <w:r w:rsidRPr="00221487">
        <w:rPr>
          <w:rFonts w:ascii="Times New Roman" w:eastAsia="Times New Roman" w:hAnsi="Times New Roman" w:cs="Times New Roman"/>
          <w:i/>
          <w:noProof/>
          <w:sz w:val="24"/>
          <w:szCs w:val="24"/>
          <w:lang w:val="sq-AL"/>
        </w:rPr>
        <w:t>100% e stafit të auditimit, në njësitë AB kanë kryer çdo vit 40 orë trajnim CPD dhe 100% e stafit të ri janë certifikuar brenda dy vitesh nga data e emërimit</w:t>
      </w:r>
      <w:r w:rsidRPr="00221487">
        <w:rPr>
          <w:rFonts w:ascii="Times New Roman" w:eastAsia="Times New Roman" w:hAnsi="Times New Roman" w:cs="Times New Roman"/>
          <w:noProof/>
          <w:sz w:val="24"/>
          <w:szCs w:val="24"/>
          <w:lang w:val="sq-AL"/>
        </w:rPr>
        <w:t xml:space="preserve">” pjesa e parë </w:t>
      </w:r>
      <w:r w:rsidRPr="00221487">
        <w:rPr>
          <w:rFonts w:ascii="Times New Roman" w:eastAsia="Times New Roman" w:hAnsi="Times New Roman" w:cs="Times New Roman"/>
          <w:b/>
          <w:noProof/>
          <w:sz w:val="24"/>
          <w:szCs w:val="24"/>
          <w:lang w:val="sq-AL"/>
        </w:rPr>
        <w:t>është përmbushur</w:t>
      </w:r>
      <w:r w:rsidRPr="00221487">
        <w:rPr>
          <w:rFonts w:ascii="Times New Roman" w:eastAsia="Times New Roman" w:hAnsi="Times New Roman" w:cs="Times New Roman"/>
          <w:noProof/>
          <w:sz w:val="24"/>
          <w:szCs w:val="24"/>
          <w:lang w:val="sq-AL"/>
        </w:rPr>
        <w:t xml:space="preserve"> pasi audituesit e brendshëm i kanë përfunduar trajnimet CPD, kundrejt numrit total të audituesve të certifikuar, ndërsa vlera për objektivin e dytë të synuar, mbetet </w:t>
      </w:r>
      <w:r w:rsidRPr="00221487">
        <w:rPr>
          <w:rFonts w:ascii="Times New Roman" w:eastAsia="Times New Roman" w:hAnsi="Times New Roman" w:cs="Times New Roman"/>
          <w:b/>
          <w:noProof/>
          <w:sz w:val="24"/>
          <w:szCs w:val="24"/>
          <w:lang w:val="sq-AL"/>
        </w:rPr>
        <w:t>e pandryshuar</w:t>
      </w:r>
      <w:r w:rsidRPr="00221487">
        <w:rPr>
          <w:rFonts w:ascii="Times New Roman" w:eastAsia="Times New Roman" w:hAnsi="Times New Roman" w:cs="Times New Roman"/>
          <w:noProof/>
          <w:sz w:val="24"/>
          <w:szCs w:val="24"/>
          <w:lang w:val="sq-AL"/>
        </w:rPr>
        <w:t xml:space="preserve"> nga viti 2017.  Në këtë drejtim, treguesi konsiderohet si </w:t>
      </w:r>
      <w:r w:rsidRPr="00221487">
        <w:rPr>
          <w:rFonts w:ascii="Times New Roman" w:eastAsia="Times New Roman" w:hAnsi="Times New Roman" w:cs="Times New Roman"/>
          <w:b/>
          <w:noProof/>
          <w:sz w:val="24"/>
          <w:szCs w:val="24"/>
          <w:lang w:val="sq-AL"/>
        </w:rPr>
        <w:t>pjesërisht i përmbushur</w:t>
      </w:r>
      <w:r w:rsidRPr="00221487">
        <w:rPr>
          <w:rFonts w:ascii="Times New Roman" w:eastAsia="Times New Roman" w:hAnsi="Times New Roman" w:cs="Times New Roman"/>
          <w:noProof/>
          <w:sz w:val="24"/>
          <w:szCs w:val="24"/>
          <w:lang w:val="sq-AL"/>
        </w:rPr>
        <w:t>. Informacioni që kërkohet për treguesin e rezultatit “</w:t>
      </w:r>
      <w:r w:rsidRPr="00221487">
        <w:rPr>
          <w:rFonts w:ascii="Times New Roman" w:eastAsia="Times New Roman" w:hAnsi="Times New Roman" w:cs="Times New Roman"/>
          <w:i/>
          <w:noProof/>
          <w:sz w:val="24"/>
          <w:szCs w:val="24"/>
          <w:lang w:val="sq-AL"/>
        </w:rPr>
        <w:t xml:space="preserve">70% e raporteve të AB-ve janë të fokusuar në problemet e performancës dhe vlerësimin e sistemeve të kontrollit të brendshëm (pesë komponentët MFK)” </w:t>
      </w:r>
      <w:r w:rsidRPr="00221487">
        <w:rPr>
          <w:rFonts w:ascii="Times New Roman" w:eastAsia="Times New Roman" w:hAnsi="Times New Roman" w:cs="Times New Roman"/>
          <w:noProof/>
          <w:sz w:val="24"/>
          <w:szCs w:val="24"/>
          <w:lang w:val="sq-AL"/>
        </w:rPr>
        <w:t>dhe treguesi i rezultatit “</w:t>
      </w:r>
      <w:r w:rsidRPr="00221487">
        <w:rPr>
          <w:rFonts w:ascii="Times New Roman" w:eastAsia="Times New Roman" w:hAnsi="Times New Roman" w:cs="Times New Roman"/>
          <w:i/>
          <w:noProof/>
          <w:sz w:val="24"/>
          <w:szCs w:val="24"/>
          <w:lang w:val="sq-AL"/>
        </w:rPr>
        <w:t xml:space="preserve">65% e rekomandimeve të auditimit të brendshëm janë zbatuar brenda dy vitesh” </w:t>
      </w:r>
      <w:r w:rsidRPr="00221487">
        <w:rPr>
          <w:rFonts w:ascii="Times New Roman" w:eastAsia="Times New Roman" w:hAnsi="Times New Roman" w:cs="Times New Roman"/>
          <w:b/>
          <w:noProof/>
          <w:sz w:val="24"/>
          <w:szCs w:val="24"/>
          <w:lang w:val="sq-AL"/>
        </w:rPr>
        <w:t>nuk janë ende të disponueshme.</w:t>
      </w:r>
      <w:r w:rsidRPr="00221487">
        <w:rPr>
          <w:rFonts w:ascii="Times New Roman" w:eastAsia="Times New Roman" w:hAnsi="Times New Roman" w:cs="Times New Roman"/>
          <w:noProof/>
          <w:color w:val="FF0101"/>
          <w:sz w:val="24"/>
          <w:szCs w:val="24"/>
          <w:lang w:val="sq-AL"/>
        </w:rPr>
        <w:t xml:space="preserve"> </w:t>
      </w:r>
      <w:r w:rsidRPr="00221487">
        <w:rPr>
          <w:rFonts w:ascii="Times New Roman" w:eastAsia="Times New Roman" w:hAnsi="Times New Roman" w:cs="Times New Roman"/>
          <w:noProof/>
          <w:sz w:val="24"/>
          <w:szCs w:val="24"/>
          <w:lang w:val="sq-AL"/>
        </w:rPr>
        <w:t xml:space="preserve"> </w:t>
      </w:r>
    </w:p>
    <w:p w:rsidR="00221487" w:rsidRPr="00221487" w:rsidRDefault="00221487" w:rsidP="00221487">
      <w:pPr>
        <w:spacing w:after="0" w:line="240" w:lineRule="auto"/>
        <w:ind w:left="1"/>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 </w:t>
      </w:r>
    </w:p>
    <w:p w:rsidR="00221487" w:rsidRPr="00221487" w:rsidRDefault="00221487" w:rsidP="00221487">
      <w:pPr>
        <w:spacing w:after="9" w:line="234"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Në nivel aktiviteti, </w:t>
      </w:r>
      <w:r w:rsidRPr="00221487">
        <w:rPr>
          <w:rFonts w:ascii="Times New Roman" w:eastAsia="Times New Roman" w:hAnsi="Times New Roman" w:cs="Times New Roman"/>
          <w:b/>
          <w:noProof/>
          <w:sz w:val="24"/>
          <w:szCs w:val="24"/>
          <w:lang w:val="sq-AL"/>
        </w:rPr>
        <w:t xml:space="preserve">kjo Shtyllë përbëhet nga tetë masa, ky pesë janë plotësuar </w:t>
      </w:r>
      <w:r w:rsidRPr="00221487">
        <w:rPr>
          <w:rFonts w:ascii="Times New Roman" w:eastAsia="Times New Roman" w:hAnsi="Times New Roman" w:cs="Times New Roman"/>
          <w:noProof/>
          <w:sz w:val="24"/>
          <w:szCs w:val="24"/>
          <w:lang w:val="sq-AL"/>
        </w:rPr>
        <w:t>dhe tre janë në proces</w:t>
      </w:r>
      <w:r w:rsidRPr="00221487">
        <w:rPr>
          <w:rFonts w:ascii="Times New Roman" w:eastAsia="Times New Roman" w:hAnsi="Times New Roman" w:cs="Times New Roman"/>
          <w:b/>
          <w:noProof/>
          <w:sz w:val="24"/>
          <w:szCs w:val="24"/>
          <w:lang w:val="sq-AL"/>
        </w:rPr>
        <w:t xml:space="preserve"> </w:t>
      </w:r>
      <w:r w:rsidRPr="00221487">
        <w:rPr>
          <w:rFonts w:ascii="Times New Roman" w:eastAsia="Times New Roman" w:hAnsi="Times New Roman" w:cs="Times New Roman"/>
          <w:noProof/>
          <w:sz w:val="24"/>
          <w:szCs w:val="24"/>
          <w:lang w:val="sq-AL"/>
        </w:rPr>
        <w:t xml:space="preserve">(Graf. 8). </w:t>
      </w:r>
    </w:p>
    <w:p w:rsidR="00221487" w:rsidRPr="00221487" w:rsidRDefault="00221487" w:rsidP="00221487">
      <w:pPr>
        <w:spacing w:after="9" w:line="234" w:lineRule="auto"/>
        <w:jc w:val="both"/>
        <w:rPr>
          <w:rFonts w:ascii="Times New Roman" w:eastAsia="Times New Roman" w:hAnsi="Times New Roman" w:cs="Times New Roman"/>
          <w:noProof/>
          <w:sz w:val="24"/>
          <w:szCs w:val="24"/>
          <w:lang w:val="sq-AL"/>
        </w:rPr>
      </w:pPr>
    </w:p>
    <w:p w:rsidR="00221487" w:rsidRPr="00221487" w:rsidRDefault="00221487" w:rsidP="00221487">
      <w:pPr>
        <w:spacing w:after="0"/>
        <w:rPr>
          <w:rFonts w:ascii="Times New Roman" w:eastAsia="Times New Roman" w:hAnsi="Times New Roman" w:cs="Times New Roman"/>
          <w:b/>
          <w:noProof/>
          <w:sz w:val="24"/>
          <w:szCs w:val="24"/>
          <w:lang w:val="sq-AL"/>
        </w:rPr>
      </w:pPr>
      <w:r w:rsidRPr="00221487">
        <w:rPr>
          <w:rFonts w:ascii="Times New Roman" w:eastAsia="Times New Roman" w:hAnsi="Times New Roman" w:cs="Times New Roman"/>
          <w:b/>
          <w:noProof/>
          <w:sz w:val="24"/>
          <w:szCs w:val="24"/>
          <w:lang w:val="sq-AL"/>
        </w:rPr>
        <w:t>Graf 8: Shtylla 5- Kontroll i brendshëm efektiv</w:t>
      </w:r>
    </w:p>
    <w:tbl>
      <w:tblPr>
        <w:tblW w:w="9606" w:type="dxa"/>
        <w:tblBorders>
          <w:top w:val="single" w:sz="4" w:space="0" w:color="auto"/>
          <w:bottom w:val="single" w:sz="4" w:space="0" w:color="auto"/>
        </w:tblBorders>
        <w:tblLayout w:type="fixed"/>
        <w:tblLook w:val="04A0" w:firstRow="1" w:lastRow="0" w:firstColumn="1" w:lastColumn="0" w:noHBand="0" w:noVBand="1"/>
      </w:tblPr>
      <w:tblGrid>
        <w:gridCol w:w="5637"/>
        <w:gridCol w:w="3969"/>
      </w:tblGrid>
      <w:tr w:rsidR="00221487" w:rsidRPr="00221487" w:rsidTr="004342D7">
        <w:trPr>
          <w:trHeight w:val="3302"/>
        </w:trPr>
        <w:tc>
          <w:tcPr>
            <w:tcW w:w="5637" w:type="dxa"/>
          </w:tcPr>
          <w:p w:rsidR="00221487" w:rsidRPr="00221487" w:rsidRDefault="00221487" w:rsidP="00221487">
            <w:pPr>
              <w:spacing w:after="0" w:line="240" w:lineRule="auto"/>
              <w:jc w:val="both"/>
              <w:rPr>
                <w:rFonts w:ascii="Times New Roman" w:eastAsia="Times New Roman" w:hAnsi="Times New Roman" w:cs="Times New Roman"/>
                <w:noProof/>
                <w:sz w:val="24"/>
                <w:szCs w:val="24"/>
                <w:highlight w:val="yellow"/>
                <w:lang w:val="sq-AL"/>
              </w:rPr>
            </w:pP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Statusi i aktiviteteve për vitin 2018</w:t>
            </w:r>
          </w:p>
          <w:p w:rsidR="00221487" w:rsidRPr="00221487" w:rsidRDefault="00221487" w:rsidP="00221487">
            <w:pPr>
              <w:spacing w:after="0" w:line="240" w:lineRule="auto"/>
              <w:jc w:val="both"/>
              <w:rPr>
                <w:rFonts w:ascii="Times New Roman" w:eastAsia="Times" w:hAnsi="Times New Roman" w:cs="Times New Roman"/>
                <w:noProof/>
                <w:sz w:val="24"/>
                <w:szCs w:val="24"/>
                <w:highlight w:val="yellow"/>
                <w:lang w:val="sq-AL"/>
              </w:rPr>
            </w:pPr>
            <w:r w:rsidRPr="00221487">
              <w:rPr>
                <w:rFonts w:ascii="Times New Roman" w:eastAsia="Times New Roman" w:hAnsi="Times New Roman" w:cs="Times New Roman"/>
                <w:noProof/>
                <w:sz w:val="24"/>
                <w:szCs w:val="24"/>
              </w:rPr>
              <w:drawing>
                <wp:inline distT="0" distB="0" distL="0" distR="0" wp14:anchorId="230CFBD8" wp14:editId="442649F0">
                  <wp:extent cx="3200400" cy="1990725"/>
                  <wp:effectExtent l="0" t="0" r="19050" b="9525"/>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221487" w:rsidRPr="00221487" w:rsidRDefault="00221487" w:rsidP="00221487">
            <w:pPr>
              <w:spacing w:after="0" w:line="240" w:lineRule="auto"/>
              <w:jc w:val="both"/>
              <w:rPr>
                <w:rFonts w:ascii="Times New Roman" w:eastAsia="Times" w:hAnsi="Times New Roman" w:cs="Times New Roman"/>
                <w:noProof/>
                <w:sz w:val="24"/>
                <w:szCs w:val="24"/>
                <w:highlight w:val="yellow"/>
                <w:lang w:val="sq-AL"/>
              </w:rPr>
            </w:pPr>
          </w:p>
          <w:p w:rsidR="00221487" w:rsidRPr="00221487" w:rsidRDefault="00221487" w:rsidP="00221487">
            <w:pPr>
              <w:spacing w:after="0" w:line="240" w:lineRule="auto"/>
              <w:jc w:val="both"/>
              <w:rPr>
                <w:rFonts w:ascii="Times New Roman" w:eastAsia="Times" w:hAnsi="Times New Roman" w:cs="Times New Roman"/>
                <w:noProof/>
                <w:sz w:val="24"/>
                <w:szCs w:val="24"/>
                <w:highlight w:val="yellow"/>
                <w:lang w:val="sq-AL"/>
              </w:rPr>
            </w:pPr>
          </w:p>
        </w:tc>
        <w:tc>
          <w:tcPr>
            <w:tcW w:w="3969" w:type="dxa"/>
          </w:tcPr>
          <w:p w:rsidR="00221487" w:rsidRPr="00221487" w:rsidRDefault="00221487" w:rsidP="00221487">
            <w:pPr>
              <w:spacing w:after="0" w:line="240" w:lineRule="auto"/>
              <w:jc w:val="both"/>
              <w:rPr>
                <w:rFonts w:ascii="Times New Roman" w:eastAsia="Times" w:hAnsi="Times New Roman" w:cs="Times New Roman"/>
                <w:noProof/>
                <w:sz w:val="24"/>
                <w:szCs w:val="24"/>
                <w:highlight w:val="yellow"/>
                <w:lang w:val="sq-AL"/>
              </w:rPr>
            </w:pPr>
          </w:p>
          <w:p w:rsidR="00221487" w:rsidRPr="00221487" w:rsidRDefault="00221487" w:rsidP="00221487">
            <w:pPr>
              <w:spacing w:after="0" w:line="240" w:lineRule="auto"/>
              <w:jc w:val="both"/>
              <w:rPr>
                <w:rFonts w:ascii="Times New Roman" w:eastAsia="Times" w:hAnsi="Times New Roman" w:cs="Times New Roman"/>
                <w:noProof/>
                <w:sz w:val="24"/>
                <w:szCs w:val="24"/>
                <w:highlight w:val="yellow"/>
                <w:lang w:val="sq-AL"/>
              </w:rPr>
            </w:pPr>
          </w:p>
          <w:p w:rsidR="00221487" w:rsidRPr="00221487" w:rsidRDefault="00221487" w:rsidP="00221487">
            <w:pPr>
              <w:spacing w:after="0" w:line="240" w:lineRule="auto"/>
              <w:jc w:val="both"/>
              <w:rPr>
                <w:rFonts w:ascii="Times New Roman" w:eastAsia="Times" w:hAnsi="Times New Roman" w:cs="Times New Roman"/>
                <w:noProof/>
                <w:sz w:val="24"/>
                <w:szCs w:val="24"/>
                <w:highlight w:val="yellow"/>
                <w:lang w:val="sq-AL"/>
              </w:rPr>
            </w:pPr>
          </w:p>
          <w:tbl>
            <w:tblPr>
              <w:tblW w:w="2615" w:type="dxa"/>
              <w:tblLayout w:type="fixed"/>
              <w:tblLook w:val="04A0" w:firstRow="1" w:lastRow="0" w:firstColumn="1" w:lastColumn="0" w:noHBand="0" w:noVBand="1"/>
            </w:tblPr>
            <w:tblGrid>
              <w:gridCol w:w="2379"/>
              <w:gridCol w:w="236"/>
            </w:tblGrid>
            <w:tr w:rsidR="00221487" w:rsidRPr="00221487" w:rsidTr="004342D7">
              <w:trPr>
                <w:trHeight w:val="315"/>
              </w:trPr>
              <w:tc>
                <w:tcPr>
                  <w:tcW w:w="2615" w:type="dxa"/>
                  <w:gridSpan w:val="2"/>
                  <w:tcBorders>
                    <w:top w:val="nil"/>
                    <w:left w:val="nil"/>
                    <w:bottom w:val="single" w:sz="8" w:space="0" w:color="auto"/>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Nr i aktiviteteve</w:t>
                  </w:r>
                </w:p>
              </w:tc>
            </w:tr>
            <w:tr w:rsidR="00221487" w:rsidRPr="00221487" w:rsidTr="004342D7">
              <w:trPr>
                <w:trHeight w:val="315"/>
              </w:trPr>
              <w:tc>
                <w:tcPr>
                  <w:tcW w:w="2379" w:type="dxa"/>
                  <w:tcBorders>
                    <w:top w:val="nil"/>
                    <w:left w:val="nil"/>
                    <w:bottom w:val="nil"/>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Të plotësuar</w:t>
                  </w:r>
                </w:p>
              </w:tc>
              <w:tc>
                <w:tcPr>
                  <w:tcW w:w="236" w:type="dxa"/>
                  <w:tcBorders>
                    <w:top w:val="nil"/>
                    <w:left w:val="nil"/>
                    <w:bottom w:val="nil"/>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5</w:t>
                  </w:r>
                </w:p>
              </w:tc>
            </w:tr>
            <w:tr w:rsidR="00221487" w:rsidRPr="00221487" w:rsidTr="004342D7">
              <w:trPr>
                <w:trHeight w:val="315"/>
              </w:trPr>
              <w:tc>
                <w:tcPr>
                  <w:tcW w:w="2379" w:type="dxa"/>
                  <w:tcBorders>
                    <w:top w:val="nil"/>
                    <w:left w:val="nil"/>
                    <w:bottom w:val="nil"/>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Në proces</w:t>
                  </w:r>
                </w:p>
              </w:tc>
              <w:tc>
                <w:tcPr>
                  <w:tcW w:w="236" w:type="dxa"/>
                  <w:tcBorders>
                    <w:top w:val="nil"/>
                    <w:left w:val="nil"/>
                    <w:bottom w:val="nil"/>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3</w:t>
                  </w:r>
                </w:p>
              </w:tc>
            </w:tr>
            <w:tr w:rsidR="00221487" w:rsidRPr="00221487" w:rsidTr="004342D7">
              <w:trPr>
                <w:trHeight w:val="315"/>
              </w:trPr>
              <w:tc>
                <w:tcPr>
                  <w:tcW w:w="2379" w:type="dxa"/>
                  <w:tcBorders>
                    <w:top w:val="nil"/>
                    <w:left w:val="nil"/>
                    <w:bottom w:val="single" w:sz="8" w:space="0" w:color="auto"/>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Nuk kanë filluar</w:t>
                  </w:r>
                </w:p>
              </w:tc>
              <w:tc>
                <w:tcPr>
                  <w:tcW w:w="236" w:type="dxa"/>
                  <w:tcBorders>
                    <w:top w:val="nil"/>
                    <w:left w:val="nil"/>
                    <w:bottom w:val="single" w:sz="8" w:space="0" w:color="auto"/>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0</w:t>
                  </w:r>
                </w:p>
              </w:tc>
            </w:tr>
            <w:tr w:rsidR="00221487" w:rsidRPr="00221487" w:rsidTr="004342D7">
              <w:trPr>
                <w:trHeight w:val="300"/>
              </w:trPr>
              <w:tc>
                <w:tcPr>
                  <w:tcW w:w="2379" w:type="dxa"/>
                  <w:tcBorders>
                    <w:top w:val="nil"/>
                    <w:left w:val="nil"/>
                    <w:bottom w:val="nil"/>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p>
              </w:tc>
              <w:tc>
                <w:tcPr>
                  <w:tcW w:w="236" w:type="dxa"/>
                  <w:tcBorders>
                    <w:top w:val="nil"/>
                    <w:left w:val="nil"/>
                    <w:bottom w:val="nil"/>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8</w:t>
                  </w:r>
                </w:p>
              </w:tc>
            </w:tr>
          </w:tbl>
          <w:p w:rsidR="00221487" w:rsidRPr="00221487" w:rsidRDefault="00221487" w:rsidP="00221487">
            <w:pPr>
              <w:spacing w:after="0" w:line="240" w:lineRule="auto"/>
              <w:jc w:val="both"/>
              <w:rPr>
                <w:rFonts w:ascii="Times New Roman" w:eastAsia="Times" w:hAnsi="Times New Roman" w:cs="Times New Roman"/>
                <w:noProof/>
                <w:sz w:val="24"/>
                <w:szCs w:val="24"/>
                <w:highlight w:val="yellow"/>
                <w:lang w:val="sq-AL"/>
              </w:rPr>
            </w:pPr>
          </w:p>
          <w:p w:rsidR="00221487" w:rsidRPr="00221487" w:rsidRDefault="00221487" w:rsidP="00221487">
            <w:pPr>
              <w:spacing w:after="0" w:line="240" w:lineRule="auto"/>
              <w:jc w:val="both"/>
              <w:rPr>
                <w:rFonts w:ascii="Times New Roman" w:eastAsia="Times" w:hAnsi="Times New Roman" w:cs="Times New Roman"/>
                <w:noProof/>
                <w:sz w:val="24"/>
                <w:szCs w:val="24"/>
                <w:highlight w:val="yellow"/>
                <w:lang w:val="sq-AL"/>
              </w:rPr>
            </w:pPr>
          </w:p>
          <w:p w:rsidR="00221487" w:rsidRPr="00221487" w:rsidRDefault="00221487" w:rsidP="00221487">
            <w:pPr>
              <w:spacing w:after="0" w:line="240" w:lineRule="auto"/>
              <w:jc w:val="both"/>
              <w:rPr>
                <w:rFonts w:ascii="Times New Roman" w:eastAsia="Times" w:hAnsi="Times New Roman" w:cs="Times New Roman"/>
                <w:noProof/>
                <w:sz w:val="24"/>
                <w:szCs w:val="24"/>
                <w:highlight w:val="yellow"/>
                <w:lang w:val="sq-AL"/>
              </w:rPr>
            </w:pPr>
          </w:p>
        </w:tc>
      </w:tr>
    </w:tbl>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p>
    <w:p w:rsidR="00221487" w:rsidRPr="00221487" w:rsidRDefault="00221487" w:rsidP="00221487">
      <w:pPr>
        <w:spacing w:after="0" w:line="240" w:lineRule="auto"/>
        <w:jc w:val="both"/>
        <w:rPr>
          <w:rFonts w:ascii="Times New Roman" w:eastAsia="Times New Roman" w:hAnsi="Times New Roman" w:cs="Times New Roman"/>
          <w:noProof/>
          <w:sz w:val="24"/>
          <w:szCs w:val="24"/>
          <w:highlight w:val="yellow"/>
          <w:lang w:val="sq-AL"/>
        </w:rPr>
      </w:pPr>
      <w:r w:rsidRPr="00221487">
        <w:rPr>
          <w:rFonts w:ascii="Times New Roman" w:eastAsia="Times New Roman" w:hAnsi="Times New Roman" w:cs="Times New Roman"/>
          <w:b/>
          <w:noProof/>
          <w:sz w:val="24"/>
          <w:szCs w:val="24"/>
          <w:lang w:val="sq-AL"/>
        </w:rPr>
        <w:t>Produktet dhe sfidat</w:t>
      </w:r>
      <w:r w:rsidRPr="00221487">
        <w:rPr>
          <w:rFonts w:ascii="Times New Roman" w:eastAsia="Times New Roman" w:hAnsi="Times New Roman" w:cs="Times New Roman"/>
          <w:noProof/>
          <w:sz w:val="24"/>
          <w:szCs w:val="24"/>
          <w:lang w:val="sq-AL"/>
        </w:rPr>
        <w:t xml:space="preserve"> kundrejt masave janë si më poshtë: </w:t>
      </w:r>
    </w:p>
    <w:p w:rsidR="00221487" w:rsidRPr="00221487" w:rsidRDefault="00221487" w:rsidP="00221487">
      <w:pPr>
        <w:spacing w:after="0" w:line="240" w:lineRule="auto"/>
        <w:ind w:left="1"/>
        <w:rPr>
          <w:rFonts w:ascii="Times New Roman" w:eastAsia="Times New Roman" w:hAnsi="Times New Roman" w:cs="Times New Roman"/>
          <w:noProof/>
          <w:sz w:val="24"/>
          <w:szCs w:val="24"/>
          <w:highlight w:val="yellow"/>
          <w:lang w:val="sq-AL"/>
        </w:rPr>
      </w:pPr>
      <w:r w:rsidRPr="00221487">
        <w:rPr>
          <w:rFonts w:ascii="Times New Roman" w:eastAsia="Times New Roman" w:hAnsi="Times New Roman" w:cs="Times New Roman"/>
          <w:noProof/>
          <w:sz w:val="24"/>
          <w:szCs w:val="24"/>
          <w:highlight w:val="yellow"/>
          <w:lang w:val="sq-AL"/>
        </w:rPr>
        <w:t xml:space="preserve"> </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i/>
          <w:noProof/>
          <w:sz w:val="24"/>
          <w:szCs w:val="24"/>
          <w:lang w:val="sq-AL"/>
        </w:rPr>
        <w:t xml:space="preserve">Monitorimi i zbatimit të kuadrit ligjor për MFK-në (në proces/sipas planit): </w:t>
      </w:r>
      <w:r w:rsidRPr="00221487">
        <w:rPr>
          <w:rFonts w:ascii="Times New Roman" w:eastAsia="Times New Roman" w:hAnsi="Times New Roman" w:cs="Times New Roman"/>
          <w:noProof/>
          <w:sz w:val="24"/>
          <w:szCs w:val="24"/>
          <w:lang w:val="sq-AL"/>
        </w:rPr>
        <w:t>Janë nxjerrë disa udhëzime dhe janë organizuar aktivitete për forcimin e kapaciteteve gjatë vitit 2018. Janë hartuar akte nënligjore në fushën e KBFP dhe të kontabilitetit publik. Raporti Vjetor KBFP-së për vitin 2017 u miratua në muajin maj 2018, bazuar në një metodologji të mbledhjes dhe përpunimit të të dhënave. Për herë të parë, në vitin 2018, analiza e treguesve të performancës për institucionet e pavarura dhe institucionet në varësi të Kryeministrisë,  u krye në bazë të performancës së këtyre institucioneve. U nxorrën dy udhëzime: "Për procedurat standarde të zbatimit të buxhetit" dhe "Për procedurat e zbatimit të buxhetit për njësitë e qeverisjes së përgjithshme duke përdorur sistemin informatik financiar qeveritar"”.</w:t>
      </w:r>
    </w:p>
    <w:p w:rsidR="00221487" w:rsidRPr="00221487" w:rsidRDefault="00221487" w:rsidP="00221487">
      <w:pPr>
        <w:spacing w:after="0" w:line="240" w:lineRule="auto"/>
        <w:ind w:left="1"/>
        <w:rPr>
          <w:rFonts w:ascii="Times New Roman" w:eastAsia="Times New Roman" w:hAnsi="Times New Roman" w:cs="Times New Roman"/>
          <w:noProof/>
          <w:sz w:val="24"/>
          <w:szCs w:val="24"/>
          <w:highlight w:val="yellow"/>
          <w:lang w:val="sq-AL"/>
        </w:rPr>
      </w:pP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i/>
          <w:noProof/>
          <w:sz w:val="24"/>
          <w:szCs w:val="24"/>
          <w:lang w:val="sq-AL"/>
        </w:rPr>
        <w:t>Zbatimi i një sistemi modern MFK-je në tre ministri linje dhe katër bashki (e plotësuar):</w:t>
      </w:r>
      <w:r w:rsidRPr="00221487">
        <w:rPr>
          <w:rFonts w:ascii="Times New Roman" w:eastAsia="Times New Roman" w:hAnsi="Times New Roman" w:cs="Times New Roman"/>
          <w:noProof/>
          <w:sz w:val="24"/>
          <w:szCs w:val="24"/>
          <w:lang w:val="sq-AL"/>
        </w:rPr>
        <w:t xml:space="preserve"> Sistemi MFK filloi zbatimin në katër institucione: Ministrinë e Brendshme, Ministrinë e Infrastrukturës dhe Energjisë, Bashkinë Vlorë dhe ARRSH. Janë organizuar disa takime/trajnime me disa institucione të përzgjedhura për të përgatitur instrumentet e nevojshme për zbatimin e MFK-së, si rregullore të brendshme dhe procedura, regjistra risku, manuale për proceset e punës, udhërrëfyes, harta pune dhe gjurmët e auditimit, për të realizuar një menaxhim më efektiv të fondeve publike. Megjithatë, ndryshimet e shpeshta infrastrukturore dhe mungesa e angazhimit nga niveli drejtues kanë ndikuar në ndërprerjen e realizimit të aktiviteteve në Ministrinë e Brendshme dhe Ministrinë e Infrastrukturës dhe Energjisë.  </w:t>
      </w:r>
    </w:p>
    <w:p w:rsidR="00221487" w:rsidRPr="00221487" w:rsidRDefault="00221487" w:rsidP="00221487">
      <w:pPr>
        <w:spacing w:after="0" w:line="240" w:lineRule="auto"/>
        <w:ind w:left="1"/>
        <w:rPr>
          <w:rFonts w:ascii="Times New Roman" w:eastAsia="Times New Roman" w:hAnsi="Times New Roman" w:cs="Times New Roman"/>
          <w:noProof/>
          <w:sz w:val="24"/>
          <w:szCs w:val="24"/>
          <w:highlight w:val="yellow"/>
          <w:lang w:val="sq-AL"/>
        </w:rPr>
      </w:pPr>
    </w:p>
    <w:p w:rsidR="00221487" w:rsidRPr="00221487" w:rsidRDefault="00221487" w:rsidP="00221487">
      <w:pPr>
        <w:spacing w:after="2" w:line="240" w:lineRule="auto"/>
        <w:jc w:val="both"/>
        <w:rPr>
          <w:rFonts w:ascii="Times New Roman" w:eastAsia="Times New Roman" w:hAnsi="Times New Roman" w:cs="Times New Roman"/>
          <w:i/>
          <w:noProof/>
          <w:sz w:val="24"/>
          <w:szCs w:val="24"/>
          <w:lang w:val="sq-AL"/>
        </w:rPr>
      </w:pPr>
      <w:r w:rsidRPr="00221487">
        <w:rPr>
          <w:rFonts w:ascii="Times New Roman" w:eastAsia="Times New Roman" w:hAnsi="Times New Roman" w:cs="Times New Roman"/>
          <w:i/>
          <w:noProof/>
          <w:sz w:val="24"/>
          <w:szCs w:val="24"/>
          <w:lang w:val="sq-AL"/>
        </w:rPr>
        <w:t>Rritja e ndërgjegjësimit të njësive publike rreth përfitimeve të zbatimit të konceptit të</w:t>
      </w:r>
    </w:p>
    <w:p w:rsidR="00221487" w:rsidRPr="00221487" w:rsidRDefault="00221487" w:rsidP="00221487">
      <w:pPr>
        <w:spacing w:after="2"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i/>
          <w:noProof/>
          <w:sz w:val="24"/>
          <w:szCs w:val="24"/>
          <w:lang w:val="sq-AL"/>
        </w:rPr>
        <w:t>“llogaridhënies menaxheriale” (në proces/sipas planit)</w:t>
      </w:r>
      <w:r w:rsidRPr="00221487">
        <w:rPr>
          <w:rFonts w:ascii="Times New Roman" w:eastAsia="Times New Roman" w:hAnsi="Times New Roman" w:cs="Times New Roman"/>
          <w:noProof/>
          <w:sz w:val="24"/>
          <w:szCs w:val="24"/>
          <w:lang w:val="sq-AL"/>
        </w:rPr>
        <w:t xml:space="preserve">: Janë kryer trajnime dhe seanca monitorimi, seminare dhe takime me nivelet e larta drejtuese dhe krerët e institucioneve qendrore dhe vendore. </w:t>
      </w:r>
    </w:p>
    <w:p w:rsidR="00221487" w:rsidRPr="00221487" w:rsidRDefault="00221487" w:rsidP="00221487">
      <w:pPr>
        <w:spacing w:after="0" w:line="240" w:lineRule="auto"/>
        <w:ind w:left="1"/>
        <w:rPr>
          <w:rFonts w:ascii="Times New Roman" w:eastAsia="Times New Roman" w:hAnsi="Times New Roman" w:cs="Times New Roman"/>
          <w:noProof/>
          <w:sz w:val="24"/>
          <w:szCs w:val="24"/>
          <w:highlight w:val="yellow"/>
          <w:lang w:val="sq-AL"/>
        </w:rPr>
      </w:pPr>
      <w:r w:rsidRPr="00221487">
        <w:rPr>
          <w:rFonts w:ascii="Times New Roman" w:eastAsia="Times New Roman" w:hAnsi="Times New Roman" w:cs="Times New Roman"/>
          <w:noProof/>
          <w:sz w:val="24"/>
          <w:szCs w:val="24"/>
          <w:highlight w:val="yellow"/>
          <w:lang w:val="sq-AL"/>
        </w:rPr>
        <w:t xml:space="preserve"> </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i/>
          <w:noProof/>
          <w:sz w:val="24"/>
          <w:szCs w:val="24"/>
          <w:lang w:val="sq-AL"/>
        </w:rPr>
        <w:t>Ndryshimi i kuadrit ligjor dhe metodologjik të AB-së (i plotësuar):</w:t>
      </w:r>
      <w:r w:rsidRPr="00221487">
        <w:rPr>
          <w:rFonts w:ascii="Times New Roman" w:eastAsia="Times New Roman" w:hAnsi="Times New Roman" w:cs="Times New Roman"/>
          <w:b/>
          <w:noProof/>
          <w:sz w:val="24"/>
          <w:szCs w:val="24"/>
          <w:lang w:val="sq-AL"/>
        </w:rPr>
        <w:t xml:space="preserve"> </w:t>
      </w:r>
      <w:r w:rsidRPr="00221487">
        <w:rPr>
          <w:rFonts w:ascii="Times New Roman" w:eastAsia="Times New Roman" w:hAnsi="Times New Roman" w:cs="Times New Roman"/>
          <w:noProof/>
          <w:sz w:val="24"/>
          <w:szCs w:val="24"/>
          <w:lang w:val="sq-AL"/>
        </w:rPr>
        <w:t>Nuk ka pasur aktivetete të parealizuara për t’u ndjekur gjatë vitit 2018.</w:t>
      </w:r>
    </w:p>
    <w:p w:rsidR="00221487" w:rsidRPr="00221487" w:rsidRDefault="00221487" w:rsidP="00221487">
      <w:pPr>
        <w:spacing w:after="0" w:line="240" w:lineRule="auto"/>
        <w:ind w:left="1"/>
        <w:rPr>
          <w:rFonts w:ascii="Times New Roman" w:eastAsia="Times New Roman" w:hAnsi="Times New Roman" w:cs="Times New Roman"/>
          <w:noProof/>
          <w:sz w:val="24"/>
          <w:szCs w:val="24"/>
          <w:highlight w:val="yellow"/>
          <w:lang w:val="sq-AL"/>
        </w:rPr>
      </w:pPr>
      <w:r w:rsidRPr="00221487">
        <w:rPr>
          <w:rFonts w:ascii="Times New Roman" w:eastAsia="Times New Roman" w:hAnsi="Times New Roman" w:cs="Times New Roman"/>
          <w:noProof/>
          <w:sz w:val="24"/>
          <w:szCs w:val="24"/>
          <w:highlight w:val="yellow"/>
          <w:lang w:val="sq-AL"/>
        </w:rPr>
        <w:t xml:space="preserve"> </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i/>
          <w:noProof/>
          <w:sz w:val="24"/>
          <w:szCs w:val="24"/>
          <w:lang w:val="sq-AL"/>
        </w:rPr>
        <w:t xml:space="preserve">Profesionalizimi i funksionit të AB-së (i plotësuar;  </w:t>
      </w:r>
      <w:r w:rsidRPr="00221487">
        <w:rPr>
          <w:rFonts w:ascii="Times New Roman" w:eastAsia="Times New Roman" w:hAnsi="Times New Roman" w:cs="Times New Roman"/>
          <w:noProof/>
          <w:sz w:val="24"/>
          <w:szCs w:val="24"/>
          <w:lang w:val="sq-AL"/>
        </w:rPr>
        <w:t>Janë kryer disa trajnime për audituesit e brendshëm. U krye certifikimi i 47 punonjësve si “Auditues të brendshëm në sektorin publik” për periudhën  2017-</w:t>
      </w:r>
      <w:r w:rsidRPr="00221487">
        <w:rPr>
          <w:rFonts w:ascii="Times New Roman" w:eastAsia="Times New Roman" w:hAnsi="Times New Roman" w:cs="Times New Roman"/>
          <w:noProof/>
          <w:sz w:val="24"/>
          <w:szCs w:val="24"/>
          <w:lang w:val="sq-AL"/>
        </w:rPr>
        <w:lastRenderedPageBreak/>
        <w:t xml:space="preserve">2018, si dhe filloi procesi i ri i certifikimit për 48 auditues të brendshëm, në bashkëpunim me ekspertë të SIGMA, për veprimtarine audituese në disa ML dhe njësi publike. </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p>
    <w:p w:rsidR="00221487" w:rsidRPr="00221487" w:rsidRDefault="00221487" w:rsidP="00221487">
      <w:pPr>
        <w:spacing w:after="0" w:line="240" w:lineRule="auto"/>
        <w:jc w:val="both"/>
        <w:rPr>
          <w:rFonts w:ascii="Times New Roman" w:eastAsia="Times" w:hAnsi="Times New Roman" w:cs="Times New Roman"/>
          <w:noProof/>
          <w:sz w:val="24"/>
          <w:szCs w:val="24"/>
          <w:lang w:val="sq-AL"/>
        </w:rPr>
      </w:pPr>
      <w:r w:rsidRPr="00221487">
        <w:rPr>
          <w:rFonts w:ascii="Times New Roman" w:eastAsia="Times New Roman" w:hAnsi="Times New Roman" w:cs="Times New Roman"/>
          <w:i/>
          <w:noProof/>
          <w:sz w:val="24"/>
          <w:szCs w:val="24"/>
          <w:lang w:val="sq-AL"/>
        </w:rPr>
        <w:t xml:space="preserve">Forcimi i kapaciteteve të Njësisë Qendrore të Harmonizimit/Auditimi i Brendshëm (DH/AB): </w:t>
      </w:r>
      <w:r w:rsidRPr="00221487">
        <w:rPr>
          <w:rFonts w:ascii="Times New Roman" w:eastAsia="Times New Roman" w:hAnsi="Times New Roman" w:cs="Times New Roman"/>
          <w:noProof/>
          <w:sz w:val="24"/>
          <w:szCs w:val="24"/>
          <w:lang w:val="sq-AL"/>
        </w:rPr>
        <w:t>Pozicioni i drejtorit dhe i specialistëve janë ende vakante. Stafi i DH/AB-së ka marrë pjesë në disa trajnime dhe workshop-e gjatë vitit  2018.</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i/>
          <w:noProof/>
          <w:sz w:val="24"/>
          <w:szCs w:val="24"/>
          <w:lang w:val="sq-AL"/>
        </w:rPr>
        <w:t xml:space="preserve">Rritja e aftësive të inspektorëve publik (e plotësuar) – </w:t>
      </w:r>
      <w:r w:rsidRPr="00221487">
        <w:rPr>
          <w:rFonts w:ascii="Times New Roman" w:eastAsia="Times New Roman" w:hAnsi="Times New Roman" w:cs="Times New Roman"/>
          <w:noProof/>
          <w:sz w:val="24"/>
          <w:szCs w:val="24"/>
          <w:lang w:val="sq-AL"/>
        </w:rPr>
        <w:t xml:space="preserve">Pjesëmarrja e stafit të Drejtorisë së Inspektimit Financiar Publik në konferenca vjetore të Shërbimit të Koordinimit Antimashtrim (AFCOS). Po rishikohet lista ekzistuese e inspektorëve dhe do të aprovohet nga Ministria e Financave dhe Ekonomisë. </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p>
    <w:p w:rsidR="00221487" w:rsidRPr="00221487" w:rsidRDefault="00221487" w:rsidP="00221487">
      <w:pPr>
        <w:spacing w:after="0" w:line="240" w:lineRule="auto"/>
        <w:jc w:val="both"/>
        <w:rPr>
          <w:rFonts w:ascii="Times New Roman" w:eastAsia="Times New Roman" w:hAnsi="Times New Roman" w:cs="Times New Roman"/>
          <w:i/>
          <w:noProof/>
          <w:sz w:val="24"/>
          <w:szCs w:val="24"/>
          <w:lang w:val="sq-AL"/>
        </w:rPr>
      </w:pPr>
      <w:r w:rsidRPr="00221487">
        <w:rPr>
          <w:rFonts w:ascii="Times New Roman" w:eastAsia="Times New Roman" w:hAnsi="Times New Roman" w:cs="Times New Roman"/>
          <w:i/>
          <w:noProof/>
          <w:sz w:val="24"/>
          <w:szCs w:val="24"/>
          <w:lang w:val="sq-AL"/>
        </w:rPr>
        <w:t xml:space="preserve">Informimi dhe ndërgjegjësimi i autoritetit dhe nivelit të lartë drejtues si dhe i publikut (e plotësuar): </w:t>
      </w:r>
      <w:r w:rsidRPr="00221487">
        <w:rPr>
          <w:rFonts w:ascii="Times New Roman" w:eastAsia="Times New Roman" w:hAnsi="Times New Roman" w:cs="Times New Roman"/>
          <w:noProof/>
          <w:sz w:val="24"/>
          <w:szCs w:val="24"/>
          <w:lang w:val="sq-AL"/>
        </w:rPr>
        <w:t>Në faqen zyrtare të internetit të MFE-së është shtuar një nënrubrik “Denonco korrupsionin me fondet publike”. Janë organizuar disa takime me inspektorët e jashtëm financiarë publik, si dhe me përfaqësues të Prokurorisë së Përgjithshme, për të rritur ndërgjegjësimin mbi funksionin e inspektimit financiar publik.</w:t>
      </w:r>
      <w:r w:rsidRPr="00221487">
        <w:rPr>
          <w:rFonts w:ascii="Times New Roman" w:eastAsia="Times New Roman" w:hAnsi="Times New Roman" w:cs="Times New Roman"/>
          <w:i/>
          <w:noProof/>
          <w:sz w:val="24"/>
          <w:szCs w:val="24"/>
          <w:lang w:val="sq-AL"/>
        </w:rPr>
        <w:t xml:space="preserve"> </w:t>
      </w:r>
    </w:p>
    <w:p w:rsidR="00221487" w:rsidRPr="00221487" w:rsidRDefault="00221487" w:rsidP="00221487">
      <w:pPr>
        <w:spacing w:after="0" w:line="240" w:lineRule="auto"/>
        <w:ind w:left="1"/>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 </w:t>
      </w:r>
    </w:p>
    <w:p w:rsidR="00221487" w:rsidRPr="00221487" w:rsidRDefault="00221487" w:rsidP="00221487">
      <w:pPr>
        <w:spacing w:after="0" w:line="240" w:lineRule="auto"/>
        <w:ind w:left="1"/>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 </w:t>
      </w:r>
    </w:p>
    <w:p w:rsidR="00221487" w:rsidRPr="00221487" w:rsidRDefault="00221487" w:rsidP="00221487">
      <w:pPr>
        <w:spacing w:after="0" w:line="240" w:lineRule="auto"/>
        <w:ind w:left="1092"/>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b/>
          <w:noProof/>
          <w:sz w:val="24"/>
          <w:szCs w:val="24"/>
          <w:lang w:val="sq-AL"/>
        </w:rPr>
        <w:t>3.5.2.</w:t>
      </w:r>
      <w:r w:rsidRPr="00221487">
        <w:rPr>
          <w:rFonts w:ascii="Arial" w:eastAsia="Arial" w:hAnsi="Arial" w:cs="Arial"/>
          <w:b/>
          <w:noProof/>
          <w:sz w:val="24"/>
          <w:szCs w:val="24"/>
          <w:lang w:val="sq-AL"/>
        </w:rPr>
        <w:t xml:space="preserve"> </w:t>
      </w:r>
      <w:r w:rsidRPr="00221487">
        <w:rPr>
          <w:rFonts w:ascii="Times New Roman" w:eastAsia="Times New Roman" w:hAnsi="Times New Roman" w:cs="Times New Roman"/>
          <w:noProof/>
          <w:sz w:val="24"/>
          <w:szCs w:val="24"/>
          <w:lang w:val="sq-AL"/>
        </w:rPr>
        <w:t>Menaxhimi financiar dhe kontrolli në institucionet publike</w:t>
      </w:r>
      <w:r w:rsidRPr="00221487">
        <w:rPr>
          <w:rFonts w:ascii="Times New Roman" w:eastAsia="Times New Roman" w:hAnsi="Times New Roman" w:cs="Times New Roman"/>
          <w:b/>
          <w:noProof/>
          <w:sz w:val="24"/>
          <w:szCs w:val="24"/>
          <w:lang w:val="sq-AL"/>
        </w:rPr>
        <w:t xml:space="preserve"> </w:t>
      </w:r>
    </w:p>
    <w:p w:rsidR="00221487" w:rsidRPr="00221487" w:rsidRDefault="00221487" w:rsidP="00221487">
      <w:pPr>
        <w:spacing w:after="5" w:line="240" w:lineRule="auto"/>
        <w:ind w:left="1"/>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 </w:t>
      </w:r>
    </w:p>
    <w:tbl>
      <w:tblPr>
        <w:tblW w:w="9713" w:type="dxa"/>
        <w:tblInd w:w="2" w:type="dxa"/>
        <w:tblCellMar>
          <w:left w:w="104" w:type="dxa"/>
          <w:right w:w="54" w:type="dxa"/>
        </w:tblCellMar>
        <w:tblLook w:val="04A0" w:firstRow="1" w:lastRow="0" w:firstColumn="1" w:lastColumn="0" w:noHBand="0" w:noVBand="1"/>
      </w:tblPr>
      <w:tblGrid>
        <w:gridCol w:w="9713"/>
      </w:tblGrid>
      <w:tr w:rsidR="00221487" w:rsidRPr="00221487" w:rsidTr="004342D7">
        <w:tc>
          <w:tcPr>
            <w:tcW w:w="9713" w:type="dxa"/>
            <w:tcBorders>
              <w:top w:val="single" w:sz="4" w:space="0" w:color="000000"/>
              <w:left w:val="single" w:sz="4" w:space="0" w:color="000000"/>
              <w:bottom w:val="single" w:sz="4" w:space="0" w:color="000000"/>
              <w:right w:val="single" w:sz="4" w:space="0" w:color="000000"/>
            </w:tcBorders>
            <w:shd w:val="clear" w:color="auto" w:fill="D9D9D9"/>
          </w:tcPr>
          <w:p w:rsidR="00221487" w:rsidRPr="00221487" w:rsidRDefault="00221487" w:rsidP="00221487">
            <w:pPr>
              <w:spacing w:after="6" w:line="240" w:lineRule="auto"/>
              <w:rPr>
                <w:rFonts w:ascii="Times New Roman" w:eastAsia="Times New Roman" w:hAnsi="Times New Roman" w:cs="Times New Roman"/>
                <w:i/>
                <w:noProof/>
                <w:sz w:val="24"/>
                <w:szCs w:val="24"/>
                <w:lang w:val="sq-AL"/>
              </w:rPr>
            </w:pPr>
            <w:r w:rsidRPr="00221487">
              <w:rPr>
                <w:rFonts w:ascii="Times New Roman" w:eastAsia="Times New Roman" w:hAnsi="Times New Roman" w:cs="Times New Roman"/>
                <w:i/>
                <w:noProof/>
                <w:sz w:val="24"/>
                <w:szCs w:val="24"/>
                <w:lang w:val="sq-AL"/>
              </w:rPr>
              <w:t xml:space="preserve">Objektivi  </w:t>
            </w:r>
          </w:p>
          <w:p w:rsidR="00221487" w:rsidRPr="00221487" w:rsidRDefault="00221487" w:rsidP="00221487">
            <w:pPr>
              <w:spacing w:after="6"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Llogaridhënie menaxheriale efektive në njësitë e qeverisjes qendrore dhe vendore. Zbatimi i suksesshëm i praktikave moderne të menaxhimit në të gjitha institucionet e qeverisjes vendore dhe qendrore. </w:t>
            </w:r>
          </w:p>
          <w:p w:rsidR="00221487" w:rsidRPr="00221487" w:rsidRDefault="00221487" w:rsidP="00221487">
            <w:pPr>
              <w:spacing w:after="6" w:line="240" w:lineRule="auto"/>
              <w:rPr>
                <w:rFonts w:ascii="Times New Roman" w:eastAsia="Times New Roman" w:hAnsi="Times New Roman" w:cs="Times New Roman"/>
                <w:i/>
                <w:noProof/>
                <w:sz w:val="24"/>
                <w:szCs w:val="24"/>
                <w:lang w:val="sq-AL"/>
              </w:rPr>
            </w:pPr>
            <w:r w:rsidRPr="00221487">
              <w:rPr>
                <w:rFonts w:ascii="Times New Roman" w:eastAsia="Times New Roman" w:hAnsi="Times New Roman" w:cs="Times New Roman"/>
                <w:i/>
                <w:noProof/>
                <w:sz w:val="24"/>
                <w:szCs w:val="24"/>
                <w:lang w:val="sq-AL"/>
              </w:rPr>
              <w:t xml:space="preserve">Treguesi i rezultatit 1 </w:t>
            </w:r>
          </w:p>
          <w:p w:rsidR="00221487" w:rsidRPr="00221487" w:rsidRDefault="00221487" w:rsidP="00221487">
            <w:pPr>
              <w:spacing w:after="6"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100% e njësive buxhetore përdorin kërkesat MFK për të përmirësuar sistemet e kontrollit të brendshëm për të realizuar objektivat dhe rezultatet. </w:t>
            </w:r>
          </w:p>
          <w:p w:rsidR="00221487" w:rsidRPr="00221487" w:rsidRDefault="00221487" w:rsidP="00221487">
            <w:pPr>
              <w:spacing w:after="6" w:line="240" w:lineRule="auto"/>
              <w:rPr>
                <w:rFonts w:ascii="Times New Roman" w:eastAsia="Times New Roman" w:hAnsi="Times New Roman" w:cs="Times New Roman"/>
                <w:i/>
                <w:noProof/>
                <w:sz w:val="24"/>
                <w:szCs w:val="24"/>
                <w:lang w:val="sq-AL"/>
              </w:rPr>
            </w:pPr>
            <w:r w:rsidRPr="00221487">
              <w:rPr>
                <w:rFonts w:ascii="Times New Roman" w:eastAsia="Times New Roman" w:hAnsi="Times New Roman" w:cs="Times New Roman"/>
                <w:i/>
                <w:noProof/>
                <w:sz w:val="24"/>
                <w:szCs w:val="24"/>
                <w:lang w:val="sq-AL"/>
              </w:rPr>
              <w:t>Vlera e treguesit</w:t>
            </w:r>
          </w:p>
          <w:p w:rsidR="00221487" w:rsidRPr="00221487" w:rsidRDefault="00221487" w:rsidP="00221487">
            <w:pPr>
              <w:spacing w:after="0" w:line="233"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Treguesi për vitin 2018 </w:t>
            </w:r>
            <w:r w:rsidRPr="00221487">
              <w:rPr>
                <w:rFonts w:ascii="Times New Roman" w:eastAsia="Times New Roman" w:hAnsi="Times New Roman" w:cs="Times New Roman"/>
                <w:b/>
                <w:noProof/>
                <w:sz w:val="24"/>
                <w:szCs w:val="24"/>
                <w:lang w:val="sq-AL"/>
              </w:rPr>
              <w:t>nuk u përmbush</w:t>
            </w:r>
            <w:r w:rsidRPr="00221487">
              <w:rPr>
                <w:rFonts w:ascii="Times New Roman" w:eastAsia="Times New Roman" w:hAnsi="Times New Roman" w:cs="Times New Roman"/>
                <w:noProof/>
                <w:sz w:val="24"/>
                <w:szCs w:val="24"/>
                <w:lang w:val="sq-AL"/>
              </w:rPr>
              <w:t>, pasi kishte tendence në rënie krahasuar me vitin 2017</w:t>
            </w:r>
            <w:r w:rsidRPr="00221487">
              <w:rPr>
                <w:rFonts w:ascii="Times New Roman" w:eastAsia="Times New Roman" w:hAnsi="Times New Roman" w:cs="Times New Roman"/>
                <w:noProof/>
                <w:sz w:val="24"/>
                <w:szCs w:val="24"/>
                <w:vertAlign w:val="superscript"/>
                <w:lang w:val="sq-AL"/>
              </w:rPr>
              <w:footnoteReference w:id="27"/>
            </w:r>
            <w:r w:rsidRPr="00221487">
              <w:rPr>
                <w:rFonts w:ascii="Times New Roman" w:eastAsia="Times New Roman" w:hAnsi="Times New Roman" w:cs="Times New Roman"/>
                <w:noProof/>
                <w:sz w:val="24"/>
                <w:szCs w:val="24"/>
                <w:lang w:val="sq-AL"/>
              </w:rPr>
              <w:t xml:space="preserve">. Pikët maksimale që arriti të merrte njësia ishin 156 pikë ( 39 pyetje x 4) dhe treguesi do të matet duke marrë pikat mesatare të vetë-vlerësimit kundrejt numrit total të pyetjeve që janë 39.    </w:t>
            </w:r>
          </w:p>
          <w:p w:rsidR="00221487" w:rsidRPr="00221487" w:rsidRDefault="00221487" w:rsidP="00221487">
            <w:pPr>
              <w:spacing w:after="0" w:line="233" w:lineRule="auto"/>
              <w:jc w:val="both"/>
              <w:rPr>
                <w:rFonts w:ascii="Times New Roman" w:eastAsia="Times New Roman" w:hAnsi="Times New Roman" w:cs="Times New Roman"/>
                <w:noProof/>
                <w:sz w:val="24"/>
                <w:szCs w:val="24"/>
                <w:lang w:val="sq-AL"/>
              </w:rPr>
            </w:pPr>
          </w:p>
          <w:tbl>
            <w:tblPr>
              <w:tblW w:w="0" w:type="auto"/>
              <w:tblInd w:w="5" w:type="dxa"/>
              <w:tblLook w:val="04A0" w:firstRow="1" w:lastRow="0" w:firstColumn="1" w:lastColumn="0" w:noHBand="0" w:noVBand="1"/>
            </w:tblPr>
            <w:tblGrid>
              <w:gridCol w:w="2891"/>
              <w:gridCol w:w="2891"/>
              <w:gridCol w:w="2892"/>
            </w:tblGrid>
            <w:tr w:rsidR="00221487" w:rsidRPr="00221487" w:rsidTr="004342D7">
              <w:tc>
                <w:tcPr>
                  <w:tcW w:w="2891" w:type="dxa"/>
                </w:tcPr>
                <w:p w:rsidR="00221487" w:rsidRPr="00221487" w:rsidRDefault="00221487" w:rsidP="00221487">
                  <w:pPr>
                    <w:spacing w:after="0" w:line="233"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Vlera bazë (2015)</w:t>
                  </w:r>
                </w:p>
              </w:tc>
              <w:tc>
                <w:tcPr>
                  <w:tcW w:w="2891" w:type="dxa"/>
                </w:tcPr>
                <w:p w:rsidR="00221487" w:rsidRPr="00221487" w:rsidRDefault="00221487" w:rsidP="00221487">
                  <w:pPr>
                    <w:spacing w:after="0" w:line="233"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2018</w:t>
                  </w:r>
                </w:p>
              </w:tc>
              <w:tc>
                <w:tcPr>
                  <w:tcW w:w="2892" w:type="dxa"/>
                </w:tcPr>
                <w:p w:rsidR="00221487" w:rsidRPr="00221487" w:rsidRDefault="00221487" w:rsidP="00221487">
                  <w:pPr>
                    <w:spacing w:after="0" w:line="233"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Synimi 2020</w:t>
                  </w:r>
                </w:p>
              </w:tc>
            </w:tr>
            <w:tr w:rsidR="00221487" w:rsidRPr="00221487" w:rsidTr="004342D7">
              <w:trPr>
                <w:trHeight w:val="261"/>
              </w:trPr>
              <w:tc>
                <w:tcPr>
                  <w:tcW w:w="2891" w:type="dxa"/>
                </w:tcPr>
                <w:p w:rsidR="00221487" w:rsidRPr="00221487" w:rsidRDefault="00221487" w:rsidP="00221487">
                  <w:pPr>
                    <w:spacing w:after="0" w:line="233"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3/4</w:t>
                  </w:r>
                </w:p>
              </w:tc>
              <w:tc>
                <w:tcPr>
                  <w:tcW w:w="2891" w:type="dxa"/>
                </w:tcPr>
                <w:p w:rsidR="00221487" w:rsidRPr="00221487" w:rsidRDefault="00221487" w:rsidP="00221487">
                  <w:pPr>
                    <w:spacing w:after="3" w:line="240" w:lineRule="auto"/>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3.379/4   </w:t>
                  </w:r>
                </w:p>
              </w:tc>
              <w:tc>
                <w:tcPr>
                  <w:tcW w:w="2892" w:type="dxa"/>
                </w:tcPr>
                <w:p w:rsidR="00221487" w:rsidRPr="00221487" w:rsidRDefault="00221487" w:rsidP="00221487">
                  <w:pPr>
                    <w:spacing w:after="0" w:line="233"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Tendencë në rritje</w:t>
                  </w:r>
                </w:p>
              </w:tc>
            </w:tr>
          </w:tbl>
          <w:p w:rsidR="00221487" w:rsidRPr="00221487" w:rsidRDefault="00221487" w:rsidP="00221487">
            <w:pPr>
              <w:spacing w:after="0"/>
              <w:jc w:val="both"/>
              <w:rPr>
                <w:rFonts w:ascii="Times New Roman" w:eastAsia="Times New Roman" w:hAnsi="Times New Roman" w:cs="Times New Roman"/>
                <w:noProof/>
                <w:sz w:val="24"/>
                <w:szCs w:val="24"/>
                <w:lang w:val="sq-AL"/>
              </w:rPr>
            </w:pPr>
          </w:p>
        </w:tc>
      </w:tr>
    </w:tbl>
    <w:p w:rsidR="00221487" w:rsidRPr="00221487" w:rsidRDefault="00221487" w:rsidP="00221487">
      <w:pPr>
        <w:spacing w:after="5" w:line="240" w:lineRule="auto"/>
        <w:ind w:left="1"/>
        <w:rPr>
          <w:rFonts w:ascii="Times New Roman" w:eastAsia="Times New Roman" w:hAnsi="Times New Roman" w:cs="Times New Roman"/>
          <w:noProof/>
          <w:sz w:val="24"/>
          <w:szCs w:val="24"/>
          <w:lang w:val="sq-AL"/>
        </w:rPr>
      </w:pPr>
    </w:p>
    <w:p w:rsidR="00221487" w:rsidRPr="00221487" w:rsidRDefault="00221487" w:rsidP="00221487">
      <w:pPr>
        <w:spacing w:after="3" w:line="240" w:lineRule="auto"/>
        <w:rPr>
          <w:rFonts w:ascii="Times New Roman" w:eastAsia="Times New Roman" w:hAnsi="Times New Roman" w:cs="Times New Roman"/>
          <w:noProof/>
          <w:sz w:val="24"/>
          <w:szCs w:val="24"/>
          <w:lang w:val="sq-AL"/>
        </w:rPr>
      </w:pPr>
    </w:p>
    <w:p w:rsidR="00221487" w:rsidRPr="00221487" w:rsidRDefault="00221487" w:rsidP="00221487">
      <w:pPr>
        <w:spacing w:after="0"/>
        <w:jc w:val="both"/>
        <w:rPr>
          <w:rFonts w:ascii="Times New Roman" w:eastAsia="Times New Roman" w:hAnsi="Times New Roman" w:cs="Times New Roman"/>
          <w:b/>
          <w:noProof/>
          <w:sz w:val="24"/>
          <w:szCs w:val="24"/>
          <w:lang w:val="sq-AL"/>
        </w:rPr>
      </w:pPr>
      <w:r w:rsidRPr="00221487">
        <w:rPr>
          <w:rFonts w:ascii="Times New Roman" w:eastAsia="Times New Roman" w:hAnsi="Times New Roman" w:cs="Times New Roman"/>
          <w:b/>
          <w:noProof/>
          <w:sz w:val="24"/>
          <w:szCs w:val="24"/>
          <w:lang w:val="sq-AL"/>
        </w:rPr>
        <w:t xml:space="preserve">Masa 1: Monitorimi i zbatimit të kuadrit ligjor të MFK-së (në proces/sipas planit)  </w:t>
      </w:r>
    </w:p>
    <w:p w:rsidR="00221487" w:rsidRPr="00221487" w:rsidRDefault="00221487" w:rsidP="00221487">
      <w:pPr>
        <w:spacing w:after="0"/>
        <w:jc w:val="both"/>
        <w:rPr>
          <w:rFonts w:ascii="Times New Roman" w:eastAsia="Times New Roman" w:hAnsi="Times New Roman" w:cs="Times New Roman"/>
          <w:b/>
          <w:noProof/>
          <w:sz w:val="24"/>
          <w:szCs w:val="24"/>
          <w:lang w:val="sq-AL"/>
        </w:rPr>
      </w:pPr>
    </w:p>
    <w:p w:rsidR="00221487" w:rsidRPr="00221487" w:rsidRDefault="00221487" w:rsidP="00221487">
      <w:pPr>
        <w:spacing w:after="0"/>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Me qëllim forcimin e MFK-së në sektorin publik, gjatë vitit 2018, </w:t>
      </w:r>
      <w:r w:rsidRPr="00221487">
        <w:rPr>
          <w:rFonts w:ascii="Times New Roman" w:eastAsia="Times New Roman" w:hAnsi="Times New Roman" w:cs="Times New Roman"/>
          <w:b/>
          <w:noProof/>
          <w:sz w:val="24"/>
          <w:szCs w:val="24"/>
          <w:lang w:val="sq-AL"/>
        </w:rPr>
        <w:t>u nxorën një sërë udhëzimesh si dhe u organizuan aktiveteve për ngritjen e kapaciteteve</w:t>
      </w:r>
      <w:r w:rsidRPr="00221487">
        <w:rPr>
          <w:rFonts w:ascii="Times New Roman" w:eastAsia="Times New Roman" w:hAnsi="Times New Roman" w:cs="Times New Roman"/>
          <w:noProof/>
          <w:sz w:val="24"/>
          <w:szCs w:val="24"/>
          <w:lang w:val="sq-AL"/>
        </w:rPr>
        <w:t xml:space="preserve">. Fokusi kryesor ishte zbatimi i suksesshëm </w:t>
      </w:r>
      <w:r w:rsidRPr="00221487">
        <w:rPr>
          <w:rFonts w:ascii="Times New Roman" w:eastAsia="Times New Roman" w:hAnsi="Times New Roman" w:cs="Times New Roman"/>
          <w:noProof/>
          <w:sz w:val="24"/>
          <w:szCs w:val="24"/>
          <w:lang w:val="sq-AL"/>
        </w:rPr>
        <w:lastRenderedPageBreak/>
        <w:t>i praktikave moderne të MFK-së në njësitë publike, rritjen e ndërgjegjësimit të drejtuesve rreth koncepteve të “</w:t>
      </w:r>
      <w:r w:rsidRPr="00221487">
        <w:rPr>
          <w:rFonts w:ascii="Times New Roman" w:eastAsia="Times New Roman" w:hAnsi="Times New Roman" w:cs="Times New Roman"/>
          <w:i/>
          <w:noProof/>
          <w:sz w:val="24"/>
          <w:szCs w:val="24"/>
          <w:lang w:val="sq-AL"/>
        </w:rPr>
        <w:t>Llogaridhënies menaxheriale</w:t>
      </w:r>
      <w:r w:rsidRPr="00221487">
        <w:rPr>
          <w:rFonts w:ascii="Times New Roman" w:eastAsia="Times New Roman" w:hAnsi="Times New Roman" w:cs="Times New Roman"/>
          <w:noProof/>
          <w:sz w:val="24"/>
          <w:szCs w:val="24"/>
          <w:lang w:val="sq-AL"/>
        </w:rPr>
        <w:t xml:space="preserve">”.  </w:t>
      </w:r>
      <w:r w:rsidRPr="00221487">
        <w:rPr>
          <w:rFonts w:ascii="Times New Roman" w:eastAsia="Times New Roman" w:hAnsi="Times New Roman" w:cs="Times New Roman"/>
          <w:b/>
          <w:noProof/>
          <w:sz w:val="24"/>
          <w:szCs w:val="24"/>
          <w:lang w:val="sq-AL"/>
        </w:rPr>
        <w:t xml:space="preserve">DQH/MFK ka përgatitur dhe përmirësuar aktet nënligjore në fushën e Kontrollit të Brenshëm Financiar Publik (KBFP) dhe kontabilitetit publik.  </w:t>
      </w:r>
      <w:r w:rsidRPr="00221487">
        <w:rPr>
          <w:rFonts w:ascii="Times New Roman" w:eastAsia="Times New Roman" w:hAnsi="Times New Roman" w:cs="Times New Roman"/>
          <w:noProof/>
          <w:sz w:val="24"/>
          <w:szCs w:val="24"/>
          <w:lang w:val="sq-AL"/>
        </w:rPr>
        <w:t xml:space="preserve">  </w:t>
      </w:r>
    </w:p>
    <w:p w:rsidR="00221487" w:rsidRPr="00221487" w:rsidRDefault="00221487" w:rsidP="00221487">
      <w:pPr>
        <w:spacing w:after="0"/>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Në lidhje me monitorimin dhe zbatimin e sistemeve të kontrollit të brendshëm, Raporti Vjetor i KBFP-së për 2017 u aprovua në muajin maj 2018. Raporti përgatitet si një detyrim ligjor, dhe përmban një përmbledhje vjetore të aktiviteteve të njësive të qeverisjes së përgjithshme në fushën e KBFP-së, arritjet dhe mangësitë e evidentuara vitin e shkuar dhe jep rekomandime për njësitë publike për përmirësime të mëtejshme. Baza e raportit ishte pyetësorët e vetë-vlerësimit, raportet vjetore si dhe treguesit përkatës të Drejtorisë së Buxhetit dhe Drejtorisë së Thesarit, të vlerësuara sipas metodologjisë së monitorimit. </w:t>
      </w:r>
      <w:r w:rsidRPr="00221487">
        <w:rPr>
          <w:rFonts w:ascii="Times New Roman" w:eastAsia="Times New Roman" w:hAnsi="Times New Roman" w:cs="Times New Roman"/>
          <w:b/>
          <w:noProof/>
          <w:sz w:val="24"/>
          <w:szCs w:val="24"/>
          <w:lang w:val="sq-AL"/>
        </w:rPr>
        <w:t xml:space="preserve">Për herë të parë në vitin 2018, u krye një analizë e treguesve të performancës për institucionet e pavarura dhe institucionet në varësi të Kryeministrisë,  bazuar në performancën e këtyre institucioneve. </w:t>
      </w:r>
    </w:p>
    <w:p w:rsidR="00221487" w:rsidRPr="00221487" w:rsidRDefault="00221487" w:rsidP="00221487">
      <w:pPr>
        <w:spacing w:after="0"/>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Për më tepër, brenda kornizës së rekomandimeve të organizatave ndërkombëtare (SIGMA) dhe përfshirjes së njësive të sektorit publik, në procesin e rëndësishëm të zbatimit të sistemit të kontrollit të brendshëm, një numër i caktuar njësish vartëse, të cilat kanë buxhet të konsiderueshëm, u zgjodhën për vlerësim, Vlerësimi i MFK-së në këto institucione vartëse u bazua në pyetësorët e vetë-vlerësimit të MFK-së, treguesit e performancës së Drejtorisë së Thesarit (4 tregues) dhe treguesve të performancës së Drejtorisë së Buxhetit (2 tregues). Aktivitetet e kryera gjatë vitit 2018 në lidhje me këtë masë janë si më poshtë:  </w:t>
      </w:r>
    </w:p>
    <w:p w:rsidR="00221487" w:rsidRPr="00221487" w:rsidRDefault="00221487" w:rsidP="007C6F79">
      <w:pPr>
        <w:numPr>
          <w:ilvl w:val="0"/>
          <w:numId w:val="17"/>
        </w:numPr>
        <w:spacing w:after="15" w:line="240" w:lineRule="auto"/>
        <w:contextualSpacing/>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Udhëzimi Nr. 9, datë 23.03.2018 “</w:t>
      </w:r>
      <w:r w:rsidRPr="00221487">
        <w:rPr>
          <w:rFonts w:ascii="Times New Roman" w:eastAsia="Times New Roman" w:hAnsi="Times New Roman" w:cs="Times New Roman"/>
          <w:i/>
          <w:noProof/>
          <w:sz w:val="24"/>
          <w:szCs w:val="24"/>
          <w:lang w:val="sq-AL"/>
        </w:rPr>
        <w:t>Për Procedurat Standarde për Zbatimin e Buxhetit</w:t>
      </w:r>
      <w:r w:rsidRPr="00221487">
        <w:rPr>
          <w:rFonts w:ascii="Times New Roman" w:eastAsia="Times New Roman" w:hAnsi="Times New Roman" w:cs="Times New Roman"/>
          <w:noProof/>
          <w:sz w:val="24"/>
          <w:szCs w:val="24"/>
          <w:lang w:val="sq-AL"/>
        </w:rPr>
        <w:t>”;</w:t>
      </w:r>
    </w:p>
    <w:p w:rsidR="00221487" w:rsidRPr="00221487" w:rsidRDefault="00221487" w:rsidP="007C6F79">
      <w:pPr>
        <w:numPr>
          <w:ilvl w:val="0"/>
          <w:numId w:val="17"/>
        </w:numPr>
        <w:spacing w:after="15" w:line="240" w:lineRule="auto"/>
        <w:contextualSpacing/>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Udhëzimi Nr. 9.1, datë 20.03.2018 “</w:t>
      </w:r>
      <w:r w:rsidRPr="00221487">
        <w:rPr>
          <w:rFonts w:ascii="Times New Roman" w:eastAsia="Times New Roman" w:hAnsi="Times New Roman" w:cs="Times New Roman"/>
          <w:i/>
          <w:noProof/>
          <w:sz w:val="24"/>
          <w:szCs w:val="24"/>
          <w:lang w:val="sq-AL"/>
        </w:rPr>
        <w:t>Për Procedurat e Zbatimit të Buxhetit për Njësitë e Qeverisjes së Përgjithshme duke përdorur Sistemin Informatik Financiar Qeveritar</w:t>
      </w:r>
      <w:r w:rsidRPr="00221487">
        <w:rPr>
          <w:rFonts w:ascii="Times New Roman" w:eastAsia="Times New Roman" w:hAnsi="Times New Roman" w:cs="Times New Roman"/>
          <w:noProof/>
          <w:sz w:val="24"/>
          <w:szCs w:val="24"/>
          <w:lang w:val="sq-AL"/>
        </w:rPr>
        <w:t xml:space="preserve">”; </w:t>
      </w:r>
      <w:r w:rsidRPr="00221487">
        <w:rPr>
          <w:rFonts w:ascii="Times New Roman" w:eastAsia="Times New Roman" w:hAnsi="Times New Roman" w:cs="Times New Roman"/>
          <w:i/>
          <w:noProof/>
          <w:sz w:val="24"/>
          <w:szCs w:val="24"/>
          <w:lang w:val="sq-AL"/>
        </w:rPr>
        <w:t xml:space="preserve"> </w:t>
      </w:r>
    </w:p>
    <w:p w:rsidR="00221487" w:rsidRPr="00221487" w:rsidRDefault="00221487" w:rsidP="007C6F79">
      <w:pPr>
        <w:numPr>
          <w:ilvl w:val="0"/>
          <w:numId w:val="17"/>
        </w:numPr>
        <w:spacing w:after="15" w:line="240" w:lineRule="auto"/>
        <w:contextualSpacing/>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Monitorimi i 20 institucioneve publike të përzgjedhura për të vlerësuar nivelin e zbatimit të ligjit MFK dhe kërkesave të akteve nënligjore, si dhe identifikimi i vërtetësisë së përmbajtjes së pyetësorëve të vetë-vlerësimit që dorëzuan këto njësi. Bazuar në gjetjet, NJQH/MFK ka dhënë rekomandime për të përmirësuar sistemin e kontrollit të brendshëm. Rezultatet e monitorimit gjenden në raportin vjetor të KBFP-së</w:t>
      </w:r>
      <w:r w:rsidRPr="00221487">
        <w:rPr>
          <w:rFonts w:ascii="Times New Roman" w:eastAsia="Times New Roman" w:hAnsi="Times New Roman" w:cs="Times New Roman"/>
          <w:noProof/>
          <w:sz w:val="24"/>
          <w:szCs w:val="24"/>
          <w:vertAlign w:val="superscript"/>
          <w:lang w:val="sq-AL"/>
        </w:rPr>
        <w:footnoteReference w:id="28"/>
      </w:r>
      <w:r w:rsidRPr="00221487">
        <w:rPr>
          <w:rFonts w:ascii="Times New Roman" w:eastAsia="Times New Roman" w:hAnsi="Times New Roman" w:cs="Times New Roman"/>
          <w:noProof/>
          <w:sz w:val="24"/>
          <w:szCs w:val="24"/>
          <w:lang w:val="sq-AL"/>
        </w:rPr>
        <w:t>;</w:t>
      </w:r>
    </w:p>
    <w:p w:rsidR="00221487" w:rsidRPr="00221487" w:rsidRDefault="00221487" w:rsidP="007C6F79">
      <w:pPr>
        <w:numPr>
          <w:ilvl w:val="0"/>
          <w:numId w:val="17"/>
        </w:numPr>
        <w:spacing w:after="15" w:line="240" w:lineRule="auto"/>
        <w:contextualSpacing/>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U organizuan dy seanca trajnimi për informimin e njësive të qeverisjes vendore (Shkodra dhe Elbasan) mbi kërkesat e ligjit MFK (66 pjesëmarrës); trajnimi shërbeu për të rritur ndërgjegjësimin e nivelit të lartë drejtues rreth rëndësisë së zbatimit të MFK-së;</w:t>
      </w:r>
    </w:p>
    <w:p w:rsidR="00221487" w:rsidRPr="00221487" w:rsidRDefault="00221487" w:rsidP="007C6F79">
      <w:pPr>
        <w:numPr>
          <w:ilvl w:val="0"/>
          <w:numId w:val="17"/>
        </w:numPr>
        <w:spacing w:after="15" w:line="240" w:lineRule="auto"/>
        <w:contextualSpacing/>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U organizuan tre seanca trajnimi, në bashkëpunim me SHAP, për nivelet e ndryshme drejtuese, për sistemin e KBFP-së dhe llogaridhënies menaxheriale (56 pjesëmarrës); </w:t>
      </w:r>
    </w:p>
    <w:p w:rsidR="00221487" w:rsidRPr="00221487" w:rsidRDefault="00221487" w:rsidP="007C6F79">
      <w:pPr>
        <w:numPr>
          <w:ilvl w:val="0"/>
          <w:numId w:val="17"/>
        </w:numPr>
        <w:spacing w:after="15" w:line="240" w:lineRule="auto"/>
        <w:contextualSpacing/>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Bazuar në kërkesat e institucioneve për asistencë me informacion dhe për zbatimin praktik të instrumenteve MFK, u zhvilluan seanca trajnimi në ambientet e Agjencisë për Administrimin e Aseteve të Sekuestruara dhe Konfiskuara, ku mori pjesë gjithë stafi i institucionit;  </w:t>
      </w:r>
    </w:p>
    <w:p w:rsidR="00221487" w:rsidRPr="00221487" w:rsidRDefault="00221487" w:rsidP="007C6F79">
      <w:pPr>
        <w:numPr>
          <w:ilvl w:val="0"/>
          <w:numId w:val="17"/>
        </w:numPr>
        <w:spacing w:after="15" w:line="240" w:lineRule="auto"/>
        <w:contextualSpacing/>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Rezultatet e takimeve me krerët e njësive publike në lidhje monitorimin e performancës, janë paraqitur në Raportin Vjetor të 2017. </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p>
    <w:p w:rsidR="00221487" w:rsidRPr="00221487" w:rsidRDefault="00221487" w:rsidP="00221487">
      <w:pPr>
        <w:spacing w:after="0" w:line="240" w:lineRule="auto"/>
        <w:ind w:left="1"/>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 </w:t>
      </w:r>
      <w:r w:rsidRPr="00221487">
        <w:rPr>
          <w:rFonts w:ascii="Times New Roman" w:eastAsia="Times New Roman" w:hAnsi="Times New Roman" w:cs="Times New Roman"/>
          <w:b/>
          <w:noProof/>
          <w:sz w:val="24"/>
          <w:szCs w:val="24"/>
          <w:lang w:val="sq-AL"/>
        </w:rPr>
        <w:t>Masa 2: Zbatimi i një sistemi modern MFK-jë në tre ministri linje dhe katër bashki (e plotësuar)</w:t>
      </w:r>
      <w:r w:rsidRPr="00221487">
        <w:rPr>
          <w:rFonts w:ascii="Times New Roman" w:eastAsia="Times New Roman" w:hAnsi="Times New Roman" w:cs="Times New Roman"/>
          <w:noProof/>
          <w:sz w:val="24"/>
          <w:szCs w:val="24"/>
          <w:lang w:val="sq-AL"/>
        </w:rPr>
        <w:t xml:space="preserve"> </w:t>
      </w:r>
    </w:p>
    <w:p w:rsidR="00221487" w:rsidRPr="00221487" w:rsidRDefault="00221487" w:rsidP="00221487">
      <w:pPr>
        <w:spacing w:after="0" w:line="240" w:lineRule="auto"/>
        <w:jc w:val="both"/>
        <w:rPr>
          <w:rFonts w:ascii="Times New Roman" w:eastAsia="Times New Roman" w:hAnsi="Times New Roman" w:cs="Times New Roman"/>
          <w:b/>
          <w:noProof/>
          <w:sz w:val="24"/>
          <w:szCs w:val="24"/>
          <w:lang w:val="sq-AL"/>
        </w:rPr>
      </w:pPr>
    </w:p>
    <w:p w:rsidR="00221487" w:rsidRPr="00221487" w:rsidRDefault="00221487" w:rsidP="00221487">
      <w:pPr>
        <w:spacing w:after="0"/>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b/>
          <w:noProof/>
          <w:sz w:val="24"/>
          <w:szCs w:val="24"/>
          <w:lang w:val="sq-AL"/>
        </w:rPr>
        <w:t xml:space="preserve">Për zbatimin e një sistemi MFK-je modern, mbështetur në përvojën e fituar nga Projekti i Binjakëzimit, u planifikua që sistemi të zbatohej në katër institucione pilote (Ministrinë e </w:t>
      </w:r>
      <w:r w:rsidRPr="00221487">
        <w:rPr>
          <w:rFonts w:ascii="Times New Roman" w:eastAsia="Times New Roman" w:hAnsi="Times New Roman" w:cs="Times New Roman"/>
          <w:b/>
          <w:noProof/>
          <w:sz w:val="24"/>
          <w:szCs w:val="24"/>
          <w:lang w:val="sq-AL"/>
        </w:rPr>
        <w:lastRenderedPageBreak/>
        <w:t xml:space="preserve">Brendshme, Ministrinë e Infrastrukturës dhe Energjisë, Bashkinë Vlorë dhe ARRSH-në.  </w:t>
      </w:r>
      <w:r w:rsidRPr="00221487">
        <w:rPr>
          <w:rFonts w:ascii="Times New Roman" w:eastAsia="Times New Roman" w:hAnsi="Times New Roman" w:cs="Times New Roman"/>
          <w:noProof/>
          <w:sz w:val="24"/>
          <w:szCs w:val="24"/>
          <w:lang w:val="sq-AL"/>
        </w:rPr>
        <w:t>Gjatë vitit 2018 u mbajtën disa takime / trajnime me institucionet e përzgjedhura me qëllim përgatitjen e instrumenteve të nevojshëm për zbatimin e MFK-së, siç janë rregulloret dhe procedurat e brendshme, regjistrat e risqeve, manualet e proceseve të punës, hartat e proceseve dhe gjurmët e auditimit për të realizuar një menaxhim më efektiv të fondeve publike.</w:t>
      </w:r>
    </w:p>
    <w:p w:rsidR="00221487" w:rsidRPr="00221487" w:rsidRDefault="00221487" w:rsidP="00221487">
      <w:pPr>
        <w:spacing w:after="0"/>
        <w:ind w:left="1"/>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Duhet theksuar bashkëpunimi i mirë me ARRSH-në, e cila ka punuar në mënyrë intensive për zbatimin dhe përmirësimin e instrumenteve të kontrollit të brendshëm. Vëmendje e veçantë i është kushtuar përcaktimit dhe hartimit të procedurave me shkrim dhe proceseve të punës, kryesisht në sektorin e dhënies së kontratave, për të parandaluar krijimin e detyrimeve të prapambetura si një nga fushat më problematike të këtij institucioni. Ndërkohë, në Bashkinë Vlorë është zbatuar regjistri i riskut dhe një projektmanual për proceset e punës. </w:t>
      </w:r>
    </w:p>
    <w:p w:rsidR="00221487" w:rsidRPr="00221487" w:rsidRDefault="00221487" w:rsidP="00221487">
      <w:pPr>
        <w:spacing w:after="0"/>
        <w:ind w:left="1"/>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Ndërsa në lidhje me ofrimin e asistencës në Ministrinë e Brendshme dhe Ministrinë e Infrastrukturës dhe Energjisë, u vërejt se ndryshimet e shpeshta strukturore dhe mungesa e angazhimit nga niveli drejtues shkaktuan ndërprerje të realizimit të aktiviteteve në këtë institucion.</w:t>
      </w:r>
    </w:p>
    <w:p w:rsidR="00221487" w:rsidRPr="00221487" w:rsidRDefault="00221487" w:rsidP="00221487">
      <w:pPr>
        <w:spacing w:after="0" w:line="240" w:lineRule="auto"/>
        <w:ind w:left="1"/>
        <w:rPr>
          <w:rFonts w:ascii="Times New Roman" w:eastAsia="Times New Roman" w:hAnsi="Times New Roman" w:cs="Times New Roman"/>
          <w:noProof/>
          <w:sz w:val="24"/>
          <w:szCs w:val="24"/>
          <w:lang w:val="sq-AL"/>
        </w:rPr>
      </w:pPr>
    </w:p>
    <w:p w:rsidR="00221487" w:rsidRPr="00221487" w:rsidRDefault="00221487" w:rsidP="00221487">
      <w:pPr>
        <w:spacing w:after="9"/>
        <w:jc w:val="both"/>
        <w:rPr>
          <w:rFonts w:ascii="Times New Roman" w:eastAsia="Times New Roman" w:hAnsi="Times New Roman" w:cs="Times New Roman"/>
          <w:b/>
          <w:noProof/>
          <w:sz w:val="24"/>
          <w:szCs w:val="24"/>
          <w:lang w:val="sq-AL"/>
        </w:rPr>
      </w:pPr>
      <w:r w:rsidRPr="00221487">
        <w:rPr>
          <w:rFonts w:ascii="Times New Roman" w:eastAsia="Times New Roman" w:hAnsi="Times New Roman" w:cs="Times New Roman"/>
          <w:b/>
          <w:noProof/>
          <w:sz w:val="24"/>
          <w:szCs w:val="24"/>
          <w:lang w:val="sq-AL"/>
        </w:rPr>
        <w:t>Masa 3: Rritja e ndërgjegjësimit të njësive publike rreth përfitimeve të zbatimit të konceptit të</w:t>
      </w:r>
    </w:p>
    <w:p w:rsidR="00221487" w:rsidRPr="00221487" w:rsidRDefault="00221487" w:rsidP="00221487">
      <w:pPr>
        <w:spacing w:after="9"/>
        <w:jc w:val="both"/>
        <w:rPr>
          <w:rFonts w:ascii="Times New Roman" w:eastAsia="Times New Roman" w:hAnsi="Times New Roman" w:cs="Times New Roman"/>
          <w:b/>
          <w:noProof/>
          <w:sz w:val="24"/>
          <w:szCs w:val="24"/>
          <w:lang w:val="sq-AL"/>
        </w:rPr>
      </w:pPr>
      <w:r w:rsidRPr="00221487">
        <w:rPr>
          <w:rFonts w:ascii="Times New Roman" w:eastAsia="Times New Roman" w:hAnsi="Times New Roman" w:cs="Times New Roman"/>
          <w:b/>
          <w:noProof/>
          <w:sz w:val="24"/>
          <w:szCs w:val="24"/>
          <w:lang w:val="sq-AL"/>
        </w:rPr>
        <w:t xml:space="preserve">“llogaridhënies menaxheriale” (në proces/sipas planit) </w:t>
      </w:r>
    </w:p>
    <w:p w:rsidR="00221487" w:rsidRPr="00221487" w:rsidRDefault="00221487" w:rsidP="00221487">
      <w:pPr>
        <w:spacing w:after="9"/>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b/>
          <w:noProof/>
          <w:sz w:val="24"/>
          <w:szCs w:val="24"/>
          <w:lang w:val="sq-AL"/>
        </w:rPr>
        <w:t xml:space="preserve"> </w:t>
      </w:r>
    </w:p>
    <w:p w:rsidR="00221487" w:rsidRPr="00221487" w:rsidRDefault="00221487" w:rsidP="00221487">
      <w:pPr>
        <w:spacing w:after="0"/>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Siç shpjegohet në masën 1, një nga objektivat më të rëndësishme të DQH/MFK është rritja e ndërgjegjësimit rreth përfitimeve e të pasurit një sistem të shëndoshë të kontrollit të brendshëm për llogaridhënien menaxheriale. Prandaj, seancat e trajnimit dhe të monitorimit, workshop-et dhe seminarit u kryen në bashkëpunim me SHAP. Më konkretisht:  </w:t>
      </w:r>
    </w:p>
    <w:p w:rsidR="00221487" w:rsidRPr="00221487" w:rsidRDefault="00221487" w:rsidP="007C6F79">
      <w:pPr>
        <w:numPr>
          <w:ilvl w:val="0"/>
          <w:numId w:val="18"/>
        </w:numPr>
        <w:spacing w:after="15" w:line="240" w:lineRule="auto"/>
        <w:contextualSpacing/>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Tre seanca trajnimi për institucionet publike në bashkëpunim me SHAP, si dhe trajnim bazuar në kërkesën për ndihmë (Agjencia për Administrimin e Aseteve të Sekuestruara dhe të Konfiskuara) me rreth 64 pjesëmarrës; </w:t>
      </w:r>
    </w:p>
    <w:p w:rsidR="00221487" w:rsidRPr="00221487" w:rsidRDefault="00221487" w:rsidP="007C6F79">
      <w:pPr>
        <w:numPr>
          <w:ilvl w:val="0"/>
          <w:numId w:val="18"/>
        </w:numPr>
        <w:spacing w:after="15" w:line="240" w:lineRule="auto"/>
        <w:contextualSpacing/>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Takime me krerët e institucioneve qendrore dhe vendore;</w:t>
      </w:r>
    </w:p>
    <w:p w:rsidR="00221487" w:rsidRPr="00221487" w:rsidRDefault="00221487" w:rsidP="007C6F79">
      <w:pPr>
        <w:numPr>
          <w:ilvl w:val="0"/>
          <w:numId w:val="18"/>
        </w:numPr>
        <w:spacing w:after="15" w:line="240" w:lineRule="auto"/>
        <w:contextualSpacing/>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Takime me krerët e njësive publike për rezultatet e monitorimit të performancës, të paraqitura në Raportin Vjetor. </w:t>
      </w:r>
    </w:p>
    <w:p w:rsidR="00221487" w:rsidRPr="00221487" w:rsidRDefault="00221487" w:rsidP="00221487">
      <w:pPr>
        <w:spacing w:after="0" w:line="240" w:lineRule="auto"/>
        <w:ind w:left="1"/>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 </w:t>
      </w:r>
    </w:p>
    <w:p w:rsidR="00221487" w:rsidRPr="00221487" w:rsidRDefault="00221487" w:rsidP="00221487">
      <w:pPr>
        <w:spacing w:after="0" w:line="240" w:lineRule="auto"/>
        <w:ind w:left="1092"/>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3.5.3.</w:t>
      </w:r>
      <w:r w:rsidRPr="00221487">
        <w:rPr>
          <w:rFonts w:ascii="Arial" w:eastAsia="Arial" w:hAnsi="Arial" w:cs="Arial"/>
          <w:noProof/>
          <w:sz w:val="24"/>
          <w:szCs w:val="24"/>
          <w:lang w:val="sq-AL"/>
        </w:rPr>
        <w:t xml:space="preserve"> </w:t>
      </w:r>
      <w:r w:rsidRPr="00221487">
        <w:rPr>
          <w:rFonts w:ascii="Times New Roman" w:eastAsia="Times New Roman" w:hAnsi="Times New Roman" w:cs="Times New Roman"/>
          <w:noProof/>
          <w:sz w:val="24"/>
          <w:szCs w:val="24"/>
          <w:lang w:val="sq-AL"/>
        </w:rPr>
        <w:t xml:space="preserve">Auditimi i brendshëm  </w:t>
      </w:r>
    </w:p>
    <w:p w:rsidR="00221487" w:rsidRPr="00221487" w:rsidRDefault="00221487" w:rsidP="00221487">
      <w:pPr>
        <w:spacing w:after="5" w:line="240" w:lineRule="auto"/>
        <w:ind w:left="1"/>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 </w:t>
      </w:r>
    </w:p>
    <w:tbl>
      <w:tblPr>
        <w:tblW w:w="9713" w:type="dxa"/>
        <w:tblInd w:w="2" w:type="dxa"/>
        <w:tblCellMar>
          <w:left w:w="104" w:type="dxa"/>
          <w:right w:w="54" w:type="dxa"/>
        </w:tblCellMar>
        <w:tblLook w:val="04A0" w:firstRow="1" w:lastRow="0" w:firstColumn="1" w:lastColumn="0" w:noHBand="0" w:noVBand="1"/>
      </w:tblPr>
      <w:tblGrid>
        <w:gridCol w:w="9713"/>
      </w:tblGrid>
      <w:tr w:rsidR="00221487" w:rsidRPr="00221487" w:rsidTr="004342D7">
        <w:tc>
          <w:tcPr>
            <w:tcW w:w="9713" w:type="dxa"/>
            <w:tcBorders>
              <w:top w:val="single" w:sz="4" w:space="0" w:color="000000"/>
              <w:left w:val="single" w:sz="4" w:space="0" w:color="000000"/>
              <w:bottom w:val="single" w:sz="4" w:space="0" w:color="000000"/>
              <w:right w:val="single" w:sz="4" w:space="0" w:color="000000"/>
            </w:tcBorders>
            <w:shd w:val="clear" w:color="auto" w:fill="D9D9D9"/>
          </w:tcPr>
          <w:p w:rsidR="00221487" w:rsidRPr="00221487" w:rsidRDefault="00221487" w:rsidP="00221487">
            <w:pPr>
              <w:spacing w:after="6" w:line="240" w:lineRule="auto"/>
              <w:jc w:val="both"/>
              <w:rPr>
                <w:rFonts w:ascii="Times New Roman" w:eastAsia="Times New Roman" w:hAnsi="Times New Roman" w:cs="Times New Roman"/>
                <w:i/>
                <w:noProof/>
                <w:sz w:val="24"/>
                <w:szCs w:val="24"/>
                <w:lang w:val="sq-AL"/>
              </w:rPr>
            </w:pPr>
            <w:r w:rsidRPr="00221487">
              <w:rPr>
                <w:rFonts w:ascii="Times New Roman" w:eastAsia="Times New Roman" w:hAnsi="Times New Roman" w:cs="Times New Roman"/>
                <w:i/>
                <w:noProof/>
                <w:sz w:val="24"/>
                <w:szCs w:val="24"/>
                <w:lang w:val="sq-AL"/>
              </w:rPr>
              <w:t xml:space="preserve">Objektivi  </w:t>
            </w:r>
          </w:p>
          <w:p w:rsidR="00221487" w:rsidRPr="00221487" w:rsidRDefault="00221487" w:rsidP="00221487">
            <w:pPr>
              <w:spacing w:after="6"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Mirëfunksionimi dhe një funksion efikas i AB-së në sektorin publik. </w:t>
            </w:r>
          </w:p>
          <w:p w:rsidR="00221487" w:rsidRPr="00221487" w:rsidRDefault="00221487" w:rsidP="00221487">
            <w:pPr>
              <w:spacing w:after="6" w:line="240" w:lineRule="auto"/>
              <w:jc w:val="both"/>
              <w:rPr>
                <w:rFonts w:ascii="Times New Roman" w:eastAsia="Times New Roman" w:hAnsi="Times New Roman" w:cs="Times New Roman"/>
                <w:i/>
                <w:noProof/>
                <w:sz w:val="24"/>
                <w:szCs w:val="24"/>
                <w:lang w:val="sq-AL"/>
              </w:rPr>
            </w:pPr>
            <w:r w:rsidRPr="00221487">
              <w:rPr>
                <w:rFonts w:ascii="Times New Roman" w:eastAsia="Times New Roman" w:hAnsi="Times New Roman" w:cs="Times New Roman"/>
                <w:i/>
                <w:noProof/>
                <w:sz w:val="24"/>
                <w:szCs w:val="24"/>
                <w:lang w:val="sq-AL"/>
              </w:rPr>
              <w:t xml:space="preserve">Treguesi i rezultatit 1 </w:t>
            </w:r>
          </w:p>
          <w:p w:rsidR="00221487" w:rsidRPr="00221487" w:rsidRDefault="00221487" w:rsidP="00221487">
            <w:pPr>
              <w:spacing w:after="6"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100% e stafit të auditimit të punësuar në njësitë e AB-së, kryen 40 orë trajnimi CPD dhe 100% e stafit të ri certifikohën brenda 2 vitesh nga data e emërimit.  </w:t>
            </w:r>
          </w:p>
          <w:p w:rsidR="00221487" w:rsidRPr="00221487" w:rsidRDefault="00221487" w:rsidP="00221487">
            <w:pPr>
              <w:spacing w:after="6" w:line="240" w:lineRule="auto"/>
              <w:jc w:val="both"/>
              <w:rPr>
                <w:rFonts w:ascii="Times New Roman" w:eastAsia="Times New Roman" w:hAnsi="Times New Roman" w:cs="Times New Roman"/>
                <w:i/>
                <w:noProof/>
                <w:sz w:val="24"/>
                <w:szCs w:val="24"/>
                <w:lang w:val="sq-AL"/>
              </w:rPr>
            </w:pPr>
            <w:r w:rsidRPr="00221487">
              <w:rPr>
                <w:rFonts w:ascii="Times New Roman" w:eastAsia="Times New Roman" w:hAnsi="Times New Roman" w:cs="Times New Roman"/>
                <w:i/>
                <w:noProof/>
                <w:sz w:val="24"/>
                <w:szCs w:val="24"/>
                <w:lang w:val="sq-AL"/>
              </w:rPr>
              <w:t>Vlera e treguesit</w:t>
            </w:r>
          </w:p>
          <w:p w:rsidR="00221487" w:rsidRPr="00221487" w:rsidRDefault="00221487" w:rsidP="00221487">
            <w:pPr>
              <w:spacing w:after="0" w:line="233"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Treguesi matet me dy nivele: (1) </w:t>
            </w:r>
            <w:r w:rsidRPr="00221487">
              <w:rPr>
                <w:rFonts w:ascii="Times New Roman" w:eastAsia="Times New Roman" w:hAnsi="Times New Roman" w:cs="Times New Roman"/>
                <w:b/>
                <w:noProof/>
                <w:sz w:val="24"/>
                <w:szCs w:val="24"/>
                <w:lang w:val="sq-AL"/>
              </w:rPr>
              <w:t>I</w:t>
            </w:r>
            <w:r w:rsidRPr="00221487">
              <w:rPr>
                <w:rFonts w:ascii="Times New Roman" w:eastAsia="Times New Roman" w:hAnsi="Times New Roman" w:cs="Times New Roman"/>
                <w:b/>
                <w:noProof/>
                <w:sz w:val="24"/>
                <w:szCs w:val="24"/>
                <w:vertAlign w:val="subscript"/>
                <w:lang w:val="sq-AL"/>
              </w:rPr>
              <w:t>ACPDT</w:t>
            </w:r>
            <w:r w:rsidRPr="00221487">
              <w:rPr>
                <w:rFonts w:ascii="Times New Roman" w:eastAsia="Times New Roman" w:hAnsi="Times New Roman" w:cs="Times New Roman"/>
                <w:b/>
                <w:noProof/>
                <w:sz w:val="24"/>
                <w:szCs w:val="24"/>
                <w:lang w:val="sq-AL"/>
              </w:rPr>
              <w:t>:</w:t>
            </w:r>
            <w:r w:rsidRPr="00221487">
              <w:rPr>
                <w:rFonts w:ascii="Times New Roman" w:eastAsia="Times New Roman" w:hAnsi="Times New Roman" w:cs="Times New Roman"/>
                <w:noProof/>
                <w:sz w:val="24"/>
                <w:szCs w:val="24"/>
                <w:lang w:val="sq-AL"/>
              </w:rPr>
              <w:t xml:space="preserve"> raporti i audituesve të brendshëm që kanë kryer trajnimin CPD kundrejt numrit total të audituesve të brendshëm që janë certifikuar dhe (2) </w:t>
            </w:r>
            <w:r w:rsidRPr="00221487">
              <w:rPr>
                <w:rFonts w:ascii="Times New Roman" w:eastAsia="Times New Roman" w:hAnsi="Times New Roman" w:cs="Times New Roman"/>
                <w:b/>
                <w:noProof/>
                <w:sz w:val="24"/>
                <w:szCs w:val="24"/>
                <w:lang w:val="sq-AL"/>
              </w:rPr>
              <w:t>I</w:t>
            </w:r>
            <w:r w:rsidRPr="00221487">
              <w:rPr>
                <w:rFonts w:ascii="Times New Roman" w:eastAsia="Times New Roman" w:hAnsi="Times New Roman" w:cs="Times New Roman"/>
                <w:b/>
                <w:noProof/>
                <w:sz w:val="24"/>
                <w:szCs w:val="24"/>
                <w:vertAlign w:val="subscript"/>
                <w:lang w:val="sq-AL"/>
              </w:rPr>
              <w:t>ANC</w:t>
            </w:r>
            <w:r w:rsidRPr="00221487">
              <w:rPr>
                <w:rFonts w:ascii="Times New Roman" w:eastAsia="Times New Roman" w:hAnsi="Times New Roman" w:cs="Times New Roman"/>
                <w:b/>
                <w:noProof/>
                <w:sz w:val="24"/>
                <w:szCs w:val="24"/>
                <w:lang w:val="sq-AL"/>
              </w:rPr>
              <w:t>:</w:t>
            </w:r>
            <w:r w:rsidRPr="00221487">
              <w:rPr>
                <w:rFonts w:ascii="Times New Roman" w:eastAsia="Times New Roman" w:hAnsi="Times New Roman" w:cs="Times New Roman"/>
                <w:noProof/>
                <w:sz w:val="24"/>
                <w:szCs w:val="24"/>
                <w:lang w:val="sq-AL"/>
              </w:rPr>
              <w:t xml:space="preserve"> raporti i audituesve të rinj të punësuar në administratën publike që kanë marrë certifikimin. Vlera e treguesit për vitin 2018, u </w:t>
            </w:r>
            <w:r w:rsidRPr="00221487">
              <w:rPr>
                <w:rFonts w:ascii="Times New Roman" w:eastAsia="Times New Roman" w:hAnsi="Times New Roman" w:cs="Times New Roman"/>
                <w:b/>
                <w:noProof/>
                <w:sz w:val="24"/>
                <w:szCs w:val="24"/>
                <w:lang w:val="sq-AL"/>
              </w:rPr>
              <w:t>përmbush</w:t>
            </w:r>
            <w:r w:rsidRPr="00221487">
              <w:rPr>
                <w:rFonts w:ascii="Times New Roman" w:eastAsia="Times New Roman" w:hAnsi="Times New Roman" w:cs="Times New Roman"/>
                <w:noProof/>
                <w:sz w:val="24"/>
                <w:szCs w:val="24"/>
                <w:lang w:val="sq-AL"/>
              </w:rPr>
              <w:t xml:space="preserve"> për </w:t>
            </w:r>
            <w:r w:rsidRPr="00221487">
              <w:rPr>
                <w:rFonts w:ascii="Times New Roman" w:eastAsia="Times New Roman" w:hAnsi="Times New Roman" w:cs="Times New Roman"/>
                <w:b/>
                <w:noProof/>
                <w:sz w:val="24"/>
                <w:szCs w:val="24"/>
                <w:lang w:val="sq-AL"/>
              </w:rPr>
              <w:t>I</w:t>
            </w:r>
            <w:r w:rsidRPr="00221487">
              <w:rPr>
                <w:rFonts w:ascii="Times New Roman" w:eastAsia="Times New Roman" w:hAnsi="Times New Roman" w:cs="Times New Roman"/>
                <w:b/>
                <w:noProof/>
                <w:sz w:val="24"/>
                <w:szCs w:val="24"/>
                <w:vertAlign w:val="subscript"/>
                <w:lang w:val="sq-AL"/>
              </w:rPr>
              <w:t>ACPDT</w:t>
            </w:r>
            <w:r w:rsidRPr="00221487">
              <w:rPr>
                <w:rFonts w:ascii="Times New Roman" w:eastAsia="Times New Roman" w:hAnsi="Times New Roman" w:cs="Times New Roman"/>
                <w:noProof/>
                <w:sz w:val="24"/>
                <w:szCs w:val="24"/>
                <w:lang w:val="sq-AL"/>
              </w:rPr>
              <w:t xml:space="preserve"> ndërsa për vlerën  </w:t>
            </w:r>
            <w:r w:rsidRPr="00221487">
              <w:rPr>
                <w:rFonts w:ascii="Times New Roman" w:eastAsia="Times New Roman" w:hAnsi="Times New Roman" w:cs="Times New Roman"/>
                <w:b/>
                <w:noProof/>
                <w:sz w:val="24"/>
                <w:szCs w:val="24"/>
                <w:lang w:val="sq-AL"/>
              </w:rPr>
              <w:t>I</w:t>
            </w:r>
            <w:r w:rsidRPr="00221487">
              <w:rPr>
                <w:rFonts w:ascii="Times New Roman" w:eastAsia="Times New Roman" w:hAnsi="Times New Roman" w:cs="Times New Roman"/>
                <w:b/>
                <w:noProof/>
                <w:sz w:val="24"/>
                <w:szCs w:val="24"/>
                <w:vertAlign w:val="subscript"/>
                <w:lang w:val="sq-AL"/>
              </w:rPr>
              <w:t>ANC</w:t>
            </w:r>
            <w:r w:rsidRPr="00221487">
              <w:rPr>
                <w:rFonts w:ascii="Times New Roman" w:eastAsia="Times New Roman" w:hAnsi="Times New Roman" w:cs="Times New Roman"/>
                <w:noProof/>
                <w:sz w:val="24"/>
                <w:szCs w:val="24"/>
                <w:lang w:val="sq-AL"/>
              </w:rPr>
              <w:t xml:space="preserve"> mbetet </w:t>
            </w:r>
            <w:r w:rsidRPr="00221487">
              <w:rPr>
                <w:rFonts w:ascii="Times New Roman" w:eastAsia="Times New Roman" w:hAnsi="Times New Roman" w:cs="Times New Roman"/>
                <w:b/>
                <w:noProof/>
                <w:sz w:val="24"/>
                <w:szCs w:val="24"/>
                <w:lang w:val="sq-AL"/>
              </w:rPr>
              <w:t>i pandryshueshëm</w:t>
            </w:r>
            <w:r w:rsidRPr="00221487">
              <w:rPr>
                <w:rFonts w:ascii="Times New Roman" w:eastAsia="Times New Roman" w:hAnsi="Times New Roman" w:cs="Times New Roman"/>
                <w:noProof/>
                <w:sz w:val="24"/>
                <w:szCs w:val="24"/>
                <w:lang w:val="sq-AL"/>
              </w:rPr>
              <w:t xml:space="preserve"> krahasuar me vitin 2017. Në këto kushte, treguesi konsiderohet </w:t>
            </w:r>
            <w:r w:rsidRPr="00221487">
              <w:rPr>
                <w:rFonts w:ascii="Times New Roman" w:eastAsia="Times New Roman" w:hAnsi="Times New Roman" w:cs="Times New Roman"/>
                <w:b/>
                <w:noProof/>
                <w:sz w:val="24"/>
                <w:szCs w:val="24"/>
                <w:lang w:val="sq-AL"/>
              </w:rPr>
              <w:t>pjesërisht i përmbushur</w:t>
            </w:r>
            <w:r w:rsidRPr="00221487">
              <w:rPr>
                <w:rFonts w:ascii="Times New Roman" w:eastAsia="Times New Roman" w:hAnsi="Times New Roman" w:cs="Times New Roman"/>
                <w:noProof/>
                <w:sz w:val="24"/>
                <w:szCs w:val="24"/>
                <w:lang w:val="sq-AL"/>
              </w:rPr>
              <w:t>.</w:t>
            </w:r>
          </w:p>
          <w:p w:rsidR="00221487" w:rsidRPr="00221487" w:rsidRDefault="00221487" w:rsidP="00221487">
            <w:pPr>
              <w:spacing w:after="0" w:line="233" w:lineRule="auto"/>
              <w:jc w:val="both"/>
              <w:rPr>
                <w:rFonts w:ascii="Times New Roman" w:eastAsia="Times New Roman" w:hAnsi="Times New Roman" w:cs="Times New Roman"/>
                <w:b/>
                <w:noProof/>
                <w:sz w:val="24"/>
                <w:szCs w:val="24"/>
                <w:lang w:val="sq-AL"/>
              </w:rPr>
            </w:pPr>
          </w:p>
          <w:tbl>
            <w:tblPr>
              <w:tblW w:w="0" w:type="auto"/>
              <w:tblInd w:w="5" w:type="dxa"/>
              <w:tblLook w:val="04A0" w:firstRow="1" w:lastRow="0" w:firstColumn="1" w:lastColumn="0" w:noHBand="0" w:noVBand="1"/>
            </w:tblPr>
            <w:tblGrid>
              <w:gridCol w:w="2891"/>
              <w:gridCol w:w="2891"/>
              <w:gridCol w:w="2892"/>
            </w:tblGrid>
            <w:tr w:rsidR="00221487" w:rsidRPr="00221487" w:rsidTr="004342D7">
              <w:tc>
                <w:tcPr>
                  <w:tcW w:w="2891" w:type="dxa"/>
                </w:tcPr>
                <w:p w:rsidR="00221487" w:rsidRPr="00221487" w:rsidRDefault="00221487" w:rsidP="00221487">
                  <w:pPr>
                    <w:spacing w:after="0" w:line="233"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Vlera bazë (2014)</w:t>
                  </w:r>
                </w:p>
              </w:tc>
              <w:tc>
                <w:tcPr>
                  <w:tcW w:w="2891" w:type="dxa"/>
                </w:tcPr>
                <w:p w:rsidR="00221487" w:rsidRPr="00221487" w:rsidRDefault="00221487" w:rsidP="00221487">
                  <w:pPr>
                    <w:spacing w:after="0" w:line="233"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2018</w:t>
                  </w:r>
                </w:p>
              </w:tc>
              <w:tc>
                <w:tcPr>
                  <w:tcW w:w="2892" w:type="dxa"/>
                </w:tcPr>
                <w:p w:rsidR="00221487" w:rsidRPr="00221487" w:rsidRDefault="00221487" w:rsidP="00221487">
                  <w:pPr>
                    <w:spacing w:after="0" w:line="233"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Synimi 2020</w:t>
                  </w:r>
                </w:p>
              </w:tc>
            </w:tr>
            <w:tr w:rsidR="00221487" w:rsidRPr="00221487" w:rsidTr="004342D7">
              <w:trPr>
                <w:trHeight w:val="261"/>
              </w:trPr>
              <w:tc>
                <w:tcPr>
                  <w:tcW w:w="2891" w:type="dxa"/>
                </w:tcPr>
                <w:p w:rsidR="00221487" w:rsidRPr="00221487" w:rsidRDefault="00221487" w:rsidP="00221487">
                  <w:pPr>
                    <w:spacing w:after="0" w:line="233"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lastRenderedPageBreak/>
                    <w:t>IA</w:t>
                  </w:r>
                  <w:r w:rsidRPr="00221487">
                    <w:rPr>
                      <w:rFonts w:ascii="Times New Roman" w:eastAsia="Times New Roman" w:hAnsi="Times New Roman" w:cs="Times New Roman"/>
                      <w:noProof/>
                      <w:sz w:val="24"/>
                      <w:szCs w:val="24"/>
                      <w:vertAlign w:val="subscript"/>
                      <w:lang w:val="sq-AL"/>
                    </w:rPr>
                    <w:t>CPDT</w:t>
                  </w:r>
                  <w:r w:rsidRPr="00221487">
                    <w:rPr>
                      <w:rFonts w:ascii="Times New Roman" w:eastAsia="Times New Roman" w:hAnsi="Times New Roman" w:cs="Times New Roman"/>
                      <w:noProof/>
                      <w:sz w:val="24"/>
                      <w:szCs w:val="24"/>
                      <w:lang w:val="sq-AL"/>
                    </w:rPr>
                    <w:t>: 82%</w:t>
                  </w:r>
                </w:p>
              </w:tc>
              <w:tc>
                <w:tcPr>
                  <w:tcW w:w="2891" w:type="dxa"/>
                </w:tcPr>
                <w:p w:rsidR="00221487" w:rsidRPr="00221487" w:rsidRDefault="00221487" w:rsidP="00221487">
                  <w:pPr>
                    <w:spacing w:after="3"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IA</w:t>
                  </w:r>
                  <w:r w:rsidRPr="00221487">
                    <w:rPr>
                      <w:rFonts w:ascii="Times New Roman" w:eastAsia="Times New Roman" w:hAnsi="Times New Roman" w:cs="Times New Roman"/>
                      <w:noProof/>
                      <w:sz w:val="24"/>
                      <w:szCs w:val="24"/>
                      <w:vertAlign w:val="subscript"/>
                      <w:lang w:val="sq-AL"/>
                    </w:rPr>
                    <w:t>CPDT</w:t>
                  </w:r>
                  <w:r w:rsidRPr="00221487">
                    <w:rPr>
                      <w:rFonts w:ascii="Times New Roman" w:eastAsia="Times New Roman" w:hAnsi="Times New Roman" w:cs="Times New Roman"/>
                      <w:noProof/>
                      <w:sz w:val="24"/>
                      <w:szCs w:val="24"/>
                      <w:lang w:val="sq-AL"/>
                    </w:rPr>
                    <w:t xml:space="preserve">: 100% </w:t>
                  </w:r>
                </w:p>
              </w:tc>
              <w:tc>
                <w:tcPr>
                  <w:tcW w:w="2892" w:type="dxa"/>
                </w:tcPr>
                <w:p w:rsidR="00221487" w:rsidRPr="00221487" w:rsidRDefault="00221487" w:rsidP="00221487">
                  <w:pPr>
                    <w:spacing w:after="0" w:line="233"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Tendencë në rritje</w:t>
                  </w:r>
                </w:p>
              </w:tc>
            </w:tr>
            <w:tr w:rsidR="00221487" w:rsidRPr="00221487" w:rsidTr="004342D7">
              <w:tc>
                <w:tcPr>
                  <w:tcW w:w="2891" w:type="dxa"/>
                </w:tcPr>
                <w:p w:rsidR="00221487" w:rsidRPr="00221487" w:rsidRDefault="00221487" w:rsidP="00221487">
                  <w:pPr>
                    <w:spacing w:after="0" w:line="233"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IA</w:t>
                  </w:r>
                  <w:r w:rsidRPr="00221487">
                    <w:rPr>
                      <w:rFonts w:ascii="Times New Roman" w:eastAsia="Times New Roman" w:hAnsi="Times New Roman" w:cs="Times New Roman"/>
                      <w:noProof/>
                      <w:sz w:val="24"/>
                      <w:szCs w:val="24"/>
                      <w:vertAlign w:val="subscript"/>
                      <w:lang w:val="sq-AL"/>
                    </w:rPr>
                    <w:t>NC</w:t>
                  </w:r>
                  <w:r w:rsidRPr="00221487">
                    <w:rPr>
                      <w:rFonts w:ascii="Times New Roman" w:eastAsia="Times New Roman" w:hAnsi="Times New Roman" w:cs="Times New Roman"/>
                      <w:noProof/>
                      <w:sz w:val="24"/>
                      <w:szCs w:val="24"/>
                      <w:lang w:val="sq-AL"/>
                    </w:rPr>
                    <w:t>: 60 %</w:t>
                  </w:r>
                </w:p>
              </w:tc>
              <w:tc>
                <w:tcPr>
                  <w:tcW w:w="2891" w:type="dxa"/>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IA</w:t>
                  </w:r>
                  <w:r w:rsidRPr="00221487">
                    <w:rPr>
                      <w:rFonts w:ascii="Times New Roman" w:eastAsia="Times New Roman" w:hAnsi="Times New Roman" w:cs="Times New Roman"/>
                      <w:noProof/>
                      <w:sz w:val="24"/>
                      <w:szCs w:val="24"/>
                      <w:vertAlign w:val="subscript"/>
                      <w:lang w:val="sq-AL"/>
                    </w:rPr>
                    <w:t>NC</w:t>
                  </w:r>
                  <w:r w:rsidRPr="00221487">
                    <w:rPr>
                      <w:rFonts w:ascii="Times New Roman" w:eastAsia="Times New Roman" w:hAnsi="Times New Roman" w:cs="Times New Roman"/>
                      <w:noProof/>
                      <w:sz w:val="24"/>
                      <w:szCs w:val="24"/>
                      <w:lang w:val="sq-AL"/>
                    </w:rPr>
                    <w:t>:     86%</w:t>
                  </w:r>
                </w:p>
                <w:p w:rsidR="00221487" w:rsidRPr="00221487" w:rsidRDefault="00221487" w:rsidP="00221487">
                  <w:pPr>
                    <w:spacing w:after="0" w:line="233" w:lineRule="auto"/>
                    <w:jc w:val="both"/>
                    <w:rPr>
                      <w:rFonts w:ascii="Times New Roman" w:eastAsia="Times New Roman" w:hAnsi="Times New Roman" w:cs="Times New Roman"/>
                      <w:noProof/>
                      <w:sz w:val="24"/>
                      <w:szCs w:val="24"/>
                      <w:lang w:val="sq-AL"/>
                    </w:rPr>
                  </w:pPr>
                </w:p>
              </w:tc>
              <w:tc>
                <w:tcPr>
                  <w:tcW w:w="2892" w:type="dxa"/>
                </w:tcPr>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Tendencë në rritje</w:t>
                  </w:r>
                </w:p>
                <w:p w:rsidR="00221487" w:rsidRPr="00221487" w:rsidRDefault="00221487" w:rsidP="00221487">
                  <w:pPr>
                    <w:spacing w:after="0" w:line="233" w:lineRule="auto"/>
                    <w:jc w:val="both"/>
                    <w:rPr>
                      <w:rFonts w:ascii="Times New Roman" w:eastAsia="Times New Roman" w:hAnsi="Times New Roman" w:cs="Times New Roman"/>
                      <w:noProof/>
                      <w:sz w:val="24"/>
                      <w:szCs w:val="24"/>
                      <w:lang w:val="sq-AL"/>
                    </w:rPr>
                  </w:pPr>
                </w:p>
              </w:tc>
            </w:tr>
          </w:tbl>
          <w:p w:rsidR="00221487" w:rsidRPr="00221487" w:rsidRDefault="00221487" w:rsidP="00221487">
            <w:pPr>
              <w:spacing w:after="0"/>
              <w:jc w:val="both"/>
              <w:rPr>
                <w:rFonts w:ascii="Times New Roman" w:eastAsia="Times New Roman" w:hAnsi="Times New Roman" w:cs="Times New Roman"/>
                <w:noProof/>
                <w:sz w:val="24"/>
                <w:szCs w:val="24"/>
                <w:lang w:val="sq-AL"/>
              </w:rPr>
            </w:pPr>
          </w:p>
        </w:tc>
      </w:tr>
    </w:tbl>
    <w:p w:rsidR="00221487" w:rsidRPr="00221487" w:rsidRDefault="00221487" w:rsidP="00221487">
      <w:pPr>
        <w:spacing w:after="5" w:line="240" w:lineRule="auto"/>
        <w:rPr>
          <w:rFonts w:ascii="Times New Roman" w:eastAsia="Times New Roman" w:hAnsi="Times New Roman" w:cs="Times New Roman"/>
          <w:noProof/>
          <w:sz w:val="24"/>
          <w:szCs w:val="24"/>
          <w:lang w:val="sq-AL"/>
        </w:rPr>
      </w:pPr>
    </w:p>
    <w:tbl>
      <w:tblPr>
        <w:tblW w:w="9713" w:type="dxa"/>
        <w:tblInd w:w="2" w:type="dxa"/>
        <w:tblCellMar>
          <w:left w:w="104" w:type="dxa"/>
          <w:right w:w="54" w:type="dxa"/>
        </w:tblCellMar>
        <w:tblLook w:val="04A0" w:firstRow="1" w:lastRow="0" w:firstColumn="1" w:lastColumn="0" w:noHBand="0" w:noVBand="1"/>
      </w:tblPr>
      <w:tblGrid>
        <w:gridCol w:w="9713"/>
      </w:tblGrid>
      <w:tr w:rsidR="00221487" w:rsidRPr="00221487" w:rsidTr="004342D7">
        <w:tc>
          <w:tcPr>
            <w:tcW w:w="9713" w:type="dxa"/>
            <w:tcBorders>
              <w:top w:val="single" w:sz="4" w:space="0" w:color="000000"/>
              <w:left w:val="single" w:sz="4" w:space="0" w:color="000000"/>
              <w:bottom w:val="single" w:sz="4" w:space="0" w:color="000000"/>
              <w:right w:val="single" w:sz="4" w:space="0" w:color="000000"/>
            </w:tcBorders>
            <w:shd w:val="clear" w:color="auto" w:fill="D9D9D9"/>
          </w:tcPr>
          <w:p w:rsidR="00221487" w:rsidRPr="00221487" w:rsidRDefault="00221487" w:rsidP="00221487">
            <w:pPr>
              <w:spacing w:after="6"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i/>
                <w:noProof/>
                <w:sz w:val="24"/>
                <w:szCs w:val="24"/>
                <w:lang w:val="sq-AL"/>
              </w:rPr>
              <w:t>Treguesi i rezultatit</w:t>
            </w:r>
            <w:r w:rsidRPr="00221487">
              <w:rPr>
                <w:rFonts w:ascii="Times New Roman" w:eastAsia="Times New Roman" w:hAnsi="Times New Roman" w:cs="Times New Roman"/>
                <w:noProof/>
                <w:sz w:val="24"/>
                <w:szCs w:val="24"/>
                <w:lang w:val="sq-AL"/>
              </w:rPr>
              <w:t xml:space="preserve"> 2 </w:t>
            </w:r>
          </w:p>
          <w:p w:rsidR="00221487" w:rsidRPr="00221487" w:rsidRDefault="00221487" w:rsidP="00221487">
            <w:pPr>
              <w:spacing w:after="0" w:line="232" w:lineRule="auto"/>
              <w:ind w:right="658"/>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70% e raporteve të AB-së fokusohen në problemet e performancës dhe vlerësimin e sistemeve të brendshme (pesë komponentët MFK). </w:t>
            </w:r>
          </w:p>
          <w:p w:rsidR="00221487" w:rsidRPr="00221487" w:rsidRDefault="00221487" w:rsidP="00221487">
            <w:pPr>
              <w:spacing w:after="0" w:line="232" w:lineRule="auto"/>
              <w:ind w:right="658"/>
              <w:jc w:val="both"/>
              <w:rPr>
                <w:rFonts w:ascii="Times New Roman" w:eastAsia="Times New Roman" w:hAnsi="Times New Roman" w:cs="Times New Roman"/>
                <w:i/>
                <w:noProof/>
                <w:sz w:val="24"/>
                <w:szCs w:val="24"/>
                <w:lang w:val="sq-AL"/>
              </w:rPr>
            </w:pPr>
            <w:r w:rsidRPr="00221487">
              <w:rPr>
                <w:rFonts w:ascii="Times New Roman" w:eastAsia="Times New Roman" w:hAnsi="Times New Roman" w:cs="Times New Roman"/>
                <w:i/>
                <w:noProof/>
                <w:sz w:val="24"/>
                <w:szCs w:val="24"/>
                <w:lang w:val="sq-AL"/>
              </w:rPr>
              <w:t>Vlera e treguesit</w:t>
            </w:r>
          </w:p>
          <w:p w:rsidR="00221487" w:rsidRPr="00221487" w:rsidRDefault="00221487" w:rsidP="00221487">
            <w:pPr>
              <w:spacing w:after="0" w:line="233"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Ky tregues do të matet si indeks i raportit midis numrit total të rekomandimeve që janë dhënë për përmirësimin e performancës institucionale ose adresimin e sistemit të kontrollit të brendshëm kundrejt numrit total të rekomandimeve të dhëna nga AB-të në çdo institucion. Për këtë tregues për vitin 2018 </w:t>
            </w:r>
            <w:r w:rsidRPr="00221487">
              <w:rPr>
                <w:rFonts w:ascii="Times New Roman" w:eastAsia="Times New Roman" w:hAnsi="Times New Roman" w:cs="Times New Roman"/>
                <w:b/>
                <w:noProof/>
                <w:sz w:val="24"/>
                <w:szCs w:val="24"/>
                <w:lang w:val="sq-AL"/>
              </w:rPr>
              <w:t>nuk kishte të dhëna</w:t>
            </w:r>
            <w:r w:rsidRPr="00221487">
              <w:rPr>
                <w:rFonts w:ascii="Times New Roman" w:eastAsia="Times New Roman" w:hAnsi="Times New Roman" w:cs="Times New Roman"/>
                <w:noProof/>
                <w:sz w:val="24"/>
                <w:szCs w:val="24"/>
                <w:lang w:val="sq-AL"/>
              </w:rPr>
              <w:t xml:space="preserve">. Raportet vjetore të AB për vitin 2018 do t’i dorëzohen DQH/AB-së në muajin shkurt 2019, dhe raporti i konsoliduar do të përgatitet dhe do të botohet në fund të muajit maj 2019.  </w:t>
            </w:r>
          </w:p>
          <w:p w:rsidR="00221487" w:rsidRPr="00221487" w:rsidRDefault="00221487" w:rsidP="00221487">
            <w:pPr>
              <w:spacing w:after="0" w:line="233" w:lineRule="auto"/>
              <w:jc w:val="both"/>
              <w:rPr>
                <w:rFonts w:ascii="Times New Roman" w:eastAsia="Times New Roman" w:hAnsi="Times New Roman" w:cs="Times New Roman"/>
                <w:b/>
                <w:noProof/>
                <w:sz w:val="24"/>
                <w:szCs w:val="24"/>
                <w:lang w:val="sq-AL"/>
              </w:rPr>
            </w:pPr>
          </w:p>
          <w:tbl>
            <w:tblPr>
              <w:tblW w:w="0" w:type="auto"/>
              <w:tblInd w:w="5" w:type="dxa"/>
              <w:tblLook w:val="04A0" w:firstRow="1" w:lastRow="0" w:firstColumn="1" w:lastColumn="0" w:noHBand="0" w:noVBand="1"/>
            </w:tblPr>
            <w:tblGrid>
              <w:gridCol w:w="2891"/>
              <w:gridCol w:w="2891"/>
              <w:gridCol w:w="2892"/>
            </w:tblGrid>
            <w:tr w:rsidR="00221487" w:rsidRPr="00221487" w:rsidTr="004342D7">
              <w:tc>
                <w:tcPr>
                  <w:tcW w:w="2891" w:type="dxa"/>
                </w:tcPr>
                <w:p w:rsidR="00221487" w:rsidRPr="00221487" w:rsidRDefault="00221487" w:rsidP="00221487">
                  <w:pPr>
                    <w:spacing w:after="0" w:line="233"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Vlera bazë (2015)</w:t>
                  </w:r>
                </w:p>
              </w:tc>
              <w:tc>
                <w:tcPr>
                  <w:tcW w:w="2891" w:type="dxa"/>
                </w:tcPr>
                <w:p w:rsidR="00221487" w:rsidRPr="00221487" w:rsidRDefault="00221487" w:rsidP="00221487">
                  <w:pPr>
                    <w:spacing w:after="0" w:line="233"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2018</w:t>
                  </w:r>
                </w:p>
              </w:tc>
              <w:tc>
                <w:tcPr>
                  <w:tcW w:w="2892" w:type="dxa"/>
                </w:tcPr>
                <w:p w:rsidR="00221487" w:rsidRPr="00221487" w:rsidRDefault="00221487" w:rsidP="00221487">
                  <w:pPr>
                    <w:spacing w:after="0" w:line="233"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Synimi 2020</w:t>
                  </w:r>
                </w:p>
              </w:tc>
            </w:tr>
            <w:tr w:rsidR="00221487" w:rsidRPr="00221487" w:rsidTr="004342D7">
              <w:tc>
                <w:tcPr>
                  <w:tcW w:w="2891" w:type="dxa"/>
                </w:tcPr>
                <w:p w:rsidR="00221487" w:rsidRPr="00221487" w:rsidRDefault="00221487" w:rsidP="00221487">
                  <w:pPr>
                    <w:spacing w:after="0" w:line="233"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40%   </w:t>
                  </w:r>
                </w:p>
              </w:tc>
              <w:tc>
                <w:tcPr>
                  <w:tcW w:w="2891" w:type="dxa"/>
                </w:tcPr>
                <w:p w:rsidR="00221487" w:rsidRPr="00221487" w:rsidRDefault="00221487" w:rsidP="00221487">
                  <w:pPr>
                    <w:spacing w:after="0" w:line="233"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Nuk ka të dhëna</w:t>
                  </w:r>
                  <w:r w:rsidRPr="00221487">
                    <w:rPr>
                      <w:rFonts w:ascii="Times New Roman" w:eastAsia="Times New Roman" w:hAnsi="Times New Roman" w:cs="Times New Roman"/>
                      <w:noProof/>
                      <w:sz w:val="24"/>
                      <w:szCs w:val="24"/>
                      <w:vertAlign w:val="superscript"/>
                      <w:lang w:val="sq-AL"/>
                    </w:rPr>
                    <w:footnoteReference w:id="29"/>
                  </w:r>
                  <w:r w:rsidRPr="00221487">
                    <w:rPr>
                      <w:rFonts w:ascii="Times New Roman" w:eastAsia="Times New Roman" w:hAnsi="Times New Roman" w:cs="Times New Roman"/>
                      <w:noProof/>
                      <w:sz w:val="24"/>
                      <w:szCs w:val="24"/>
                      <w:lang w:val="sq-AL"/>
                    </w:rPr>
                    <w:t xml:space="preserve">          </w:t>
                  </w:r>
                </w:p>
              </w:tc>
              <w:tc>
                <w:tcPr>
                  <w:tcW w:w="2892" w:type="dxa"/>
                </w:tcPr>
                <w:p w:rsidR="00221487" w:rsidRPr="00221487" w:rsidRDefault="00221487" w:rsidP="00221487">
                  <w:pPr>
                    <w:spacing w:after="0" w:line="233"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Tendencë në rritje</w:t>
                  </w:r>
                </w:p>
              </w:tc>
            </w:tr>
          </w:tbl>
          <w:p w:rsidR="00221487" w:rsidRPr="00221487" w:rsidRDefault="00221487" w:rsidP="00221487">
            <w:pPr>
              <w:spacing w:after="0"/>
              <w:jc w:val="both"/>
              <w:rPr>
                <w:rFonts w:ascii="Times New Roman" w:eastAsia="Times New Roman" w:hAnsi="Times New Roman" w:cs="Times New Roman"/>
                <w:noProof/>
                <w:sz w:val="24"/>
                <w:szCs w:val="24"/>
                <w:lang w:val="sq-AL"/>
              </w:rPr>
            </w:pPr>
          </w:p>
        </w:tc>
      </w:tr>
    </w:tbl>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p>
    <w:tbl>
      <w:tblPr>
        <w:tblW w:w="9749" w:type="dxa"/>
        <w:tblInd w:w="2" w:type="dxa"/>
        <w:tblCellMar>
          <w:left w:w="104" w:type="dxa"/>
          <w:right w:w="54" w:type="dxa"/>
        </w:tblCellMar>
        <w:tblLook w:val="04A0" w:firstRow="1" w:lastRow="0" w:firstColumn="1" w:lastColumn="0" w:noHBand="0" w:noVBand="1"/>
      </w:tblPr>
      <w:tblGrid>
        <w:gridCol w:w="9749"/>
      </w:tblGrid>
      <w:tr w:rsidR="00221487" w:rsidRPr="00221487" w:rsidTr="004342D7">
        <w:tc>
          <w:tcPr>
            <w:tcW w:w="9749" w:type="dxa"/>
            <w:tcBorders>
              <w:top w:val="single" w:sz="4" w:space="0" w:color="000000"/>
              <w:left w:val="single" w:sz="4" w:space="0" w:color="000000"/>
              <w:bottom w:val="single" w:sz="4" w:space="0" w:color="000000"/>
              <w:right w:val="single" w:sz="4" w:space="0" w:color="000000"/>
            </w:tcBorders>
            <w:shd w:val="clear" w:color="auto" w:fill="D9D9D9"/>
          </w:tcPr>
          <w:p w:rsidR="00221487" w:rsidRPr="00221487" w:rsidRDefault="00221487" w:rsidP="00221487">
            <w:pPr>
              <w:spacing w:after="6" w:line="240" w:lineRule="auto"/>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i/>
                <w:noProof/>
                <w:sz w:val="24"/>
                <w:szCs w:val="24"/>
                <w:lang w:val="sq-AL"/>
              </w:rPr>
              <w:t>Treguesi i rezultatit</w:t>
            </w:r>
            <w:r w:rsidRPr="00221487">
              <w:rPr>
                <w:rFonts w:ascii="Times New Roman" w:eastAsia="Times New Roman" w:hAnsi="Times New Roman" w:cs="Times New Roman"/>
                <w:noProof/>
                <w:sz w:val="24"/>
                <w:szCs w:val="24"/>
                <w:lang w:val="sq-AL"/>
              </w:rPr>
              <w:t xml:space="preserve"> 3</w:t>
            </w:r>
          </w:p>
          <w:p w:rsidR="00221487" w:rsidRPr="00221487" w:rsidRDefault="00221487" w:rsidP="00221487">
            <w:pPr>
              <w:spacing w:after="0" w:line="232" w:lineRule="auto"/>
              <w:ind w:right="658"/>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65% e rekomandimeve të auditimit të brendshëm janë zbatuar brenda dy vitesh. </w:t>
            </w:r>
          </w:p>
          <w:p w:rsidR="00221487" w:rsidRPr="00221487" w:rsidRDefault="00221487" w:rsidP="00221487">
            <w:pPr>
              <w:spacing w:after="0" w:line="232" w:lineRule="auto"/>
              <w:ind w:right="658"/>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i/>
                <w:noProof/>
                <w:sz w:val="24"/>
                <w:szCs w:val="24"/>
                <w:lang w:val="sq-AL"/>
              </w:rPr>
              <w:t>Vlera e treguesit</w:t>
            </w:r>
          </w:p>
          <w:p w:rsidR="00221487" w:rsidRPr="00221487" w:rsidRDefault="00221487" w:rsidP="00221487">
            <w:pPr>
              <w:spacing w:after="0" w:line="233" w:lineRule="auto"/>
              <w:jc w:val="both"/>
              <w:rPr>
                <w:rFonts w:ascii="Times New Roman" w:eastAsia="Times New Roman" w:hAnsi="Times New Roman" w:cs="Times New Roman"/>
                <w:b/>
                <w:noProof/>
                <w:sz w:val="24"/>
                <w:szCs w:val="24"/>
                <w:lang w:val="sq-AL"/>
              </w:rPr>
            </w:pPr>
            <w:r w:rsidRPr="00221487">
              <w:rPr>
                <w:rFonts w:ascii="Times New Roman" w:eastAsia="Times New Roman" w:hAnsi="Times New Roman" w:cs="Times New Roman"/>
                <w:noProof/>
                <w:sz w:val="24"/>
                <w:szCs w:val="24"/>
                <w:lang w:val="sq-AL"/>
              </w:rPr>
              <w:t xml:space="preserve">Ky tregues tregon shkallën e zbatimit të rekomandimeve të lëshuara nga Njësitë e Auditimit të Brendshëm. Për vlerën e treguesit për vitin 2018 nuk kishte të dhëna. Raportet vjetore të AB për vitin 2018 do t’i dorëzohen DQH/AB-së në muajin shkurt 2019, dhe raporti i konsoliduar do të përgatitet dhe do të botohet në fund të muajit maj 2019. </w:t>
            </w:r>
            <w:r w:rsidRPr="00221487">
              <w:rPr>
                <w:rFonts w:ascii="Times New Roman" w:eastAsia="Times New Roman" w:hAnsi="Times New Roman" w:cs="Times New Roman"/>
                <w:b/>
                <w:noProof/>
                <w:sz w:val="24"/>
                <w:szCs w:val="24"/>
                <w:lang w:val="sq-AL"/>
              </w:rPr>
              <w:t xml:space="preserve"> </w:t>
            </w:r>
          </w:p>
          <w:p w:rsidR="00221487" w:rsidRPr="00221487" w:rsidRDefault="00221487" w:rsidP="00221487">
            <w:pPr>
              <w:spacing w:after="0" w:line="233" w:lineRule="auto"/>
              <w:jc w:val="both"/>
              <w:rPr>
                <w:rFonts w:ascii="Times New Roman" w:eastAsia="Times New Roman" w:hAnsi="Times New Roman" w:cs="Times New Roman"/>
                <w:b/>
                <w:noProof/>
                <w:sz w:val="24"/>
                <w:szCs w:val="24"/>
                <w:lang w:val="sq-AL"/>
              </w:rPr>
            </w:pPr>
          </w:p>
          <w:tbl>
            <w:tblPr>
              <w:tblW w:w="0" w:type="auto"/>
              <w:tblInd w:w="5" w:type="dxa"/>
              <w:tblLook w:val="04A0" w:firstRow="1" w:lastRow="0" w:firstColumn="1" w:lastColumn="0" w:noHBand="0" w:noVBand="1"/>
            </w:tblPr>
            <w:tblGrid>
              <w:gridCol w:w="2891"/>
              <w:gridCol w:w="2891"/>
              <w:gridCol w:w="2892"/>
            </w:tblGrid>
            <w:tr w:rsidR="00221487" w:rsidRPr="00221487" w:rsidTr="004342D7">
              <w:tc>
                <w:tcPr>
                  <w:tcW w:w="2891" w:type="dxa"/>
                </w:tcPr>
                <w:p w:rsidR="00221487" w:rsidRPr="00221487" w:rsidRDefault="00221487" w:rsidP="00221487">
                  <w:pPr>
                    <w:spacing w:after="0" w:line="233"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Vlera bazë (2014)</w:t>
                  </w:r>
                </w:p>
              </w:tc>
              <w:tc>
                <w:tcPr>
                  <w:tcW w:w="2891" w:type="dxa"/>
                </w:tcPr>
                <w:p w:rsidR="00221487" w:rsidRPr="00221487" w:rsidRDefault="00221487" w:rsidP="00221487">
                  <w:pPr>
                    <w:spacing w:after="0" w:line="233"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2018</w:t>
                  </w:r>
                </w:p>
              </w:tc>
              <w:tc>
                <w:tcPr>
                  <w:tcW w:w="2892" w:type="dxa"/>
                </w:tcPr>
                <w:p w:rsidR="00221487" w:rsidRPr="00221487" w:rsidRDefault="00221487" w:rsidP="00221487">
                  <w:pPr>
                    <w:spacing w:after="0" w:line="233"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Synimi 2020</w:t>
                  </w:r>
                </w:p>
              </w:tc>
            </w:tr>
            <w:tr w:rsidR="00221487" w:rsidRPr="00221487" w:rsidTr="004342D7">
              <w:tc>
                <w:tcPr>
                  <w:tcW w:w="2891" w:type="dxa"/>
                </w:tcPr>
                <w:p w:rsidR="00221487" w:rsidRPr="00221487" w:rsidRDefault="00221487" w:rsidP="00221487">
                  <w:pPr>
                    <w:spacing w:after="0" w:line="233"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R.</w:t>
                  </w:r>
                  <w:r w:rsidRPr="00221487">
                    <w:rPr>
                      <w:rFonts w:ascii="Times New Roman" w:eastAsia="Times New Roman" w:hAnsi="Times New Roman" w:cs="Times New Roman"/>
                      <w:noProof/>
                      <w:sz w:val="24"/>
                      <w:szCs w:val="24"/>
                      <w:vertAlign w:val="subscript"/>
                      <w:lang w:val="sq-AL"/>
                    </w:rPr>
                    <w:t xml:space="preserve">impl: </w:t>
                  </w:r>
                  <w:r w:rsidRPr="00221487">
                    <w:rPr>
                      <w:rFonts w:ascii="Times New Roman" w:eastAsia="Times New Roman" w:hAnsi="Times New Roman" w:cs="Times New Roman"/>
                      <w:noProof/>
                      <w:sz w:val="24"/>
                      <w:szCs w:val="24"/>
                      <w:lang w:val="sq-AL"/>
                    </w:rPr>
                    <w:t xml:space="preserve"> 45%   </w:t>
                  </w:r>
                </w:p>
              </w:tc>
              <w:tc>
                <w:tcPr>
                  <w:tcW w:w="2891" w:type="dxa"/>
                </w:tcPr>
                <w:p w:rsidR="00221487" w:rsidRPr="00221487" w:rsidRDefault="00221487" w:rsidP="00221487">
                  <w:pPr>
                    <w:spacing w:after="0" w:line="233"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Nuk ka të dhëna</w:t>
                  </w:r>
                  <w:r w:rsidRPr="00221487">
                    <w:rPr>
                      <w:rFonts w:ascii="Times New Roman" w:eastAsia="Times New Roman" w:hAnsi="Times New Roman" w:cs="Times New Roman"/>
                      <w:noProof/>
                      <w:sz w:val="24"/>
                      <w:szCs w:val="24"/>
                      <w:vertAlign w:val="superscript"/>
                      <w:lang w:val="sq-AL"/>
                    </w:rPr>
                    <w:footnoteReference w:id="30"/>
                  </w:r>
                  <w:r w:rsidRPr="00221487">
                    <w:rPr>
                      <w:rFonts w:ascii="Times New Roman" w:eastAsia="Times New Roman" w:hAnsi="Times New Roman" w:cs="Times New Roman"/>
                      <w:noProof/>
                      <w:sz w:val="24"/>
                      <w:szCs w:val="24"/>
                      <w:lang w:val="sq-AL"/>
                    </w:rPr>
                    <w:t xml:space="preserve">          </w:t>
                  </w:r>
                </w:p>
              </w:tc>
              <w:tc>
                <w:tcPr>
                  <w:tcW w:w="2892" w:type="dxa"/>
                </w:tcPr>
                <w:p w:rsidR="00221487" w:rsidRPr="00221487" w:rsidRDefault="00221487" w:rsidP="00221487">
                  <w:pPr>
                    <w:spacing w:after="0" w:line="233"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Tendencë në rritje</w:t>
                  </w:r>
                </w:p>
              </w:tc>
            </w:tr>
          </w:tbl>
          <w:p w:rsidR="00221487" w:rsidRPr="00221487" w:rsidRDefault="00221487" w:rsidP="00221487">
            <w:pPr>
              <w:spacing w:after="0"/>
              <w:jc w:val="both"/>
              <w:rPr>
                <w:rFonts w:ascii="Times New Roman" w:eastAsia="Times New Roman" w:hAnsi="Times New Roman" w:cs="Times New Roman"/>
                <w:noProof/>
                <w:sz w:val="24"/>
                <w:szCs w:val="24"/>
                <w:lang w:val="sq-AL"/>
              </w:rPr>
            </w:pPr>
          </w:p>
        </w:tc>
      </w:tr>
    </w:tbl>
    <w:p w:rsidR="00221487" w:rsidRPr="00221487" w:rsidRDefault="00221487" w:rsidP="00221487">
      <w:pPr>
        <w:spacing w:after="0" w:line="240" w:lineRule="auto"/>
        <w:ind w:left="1"/>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 </w:t>
      </w:r>
    </w:p>
    <w:p w:rsidR="00221487" w:rsidRPr="00221487" w:rsidRDefault="00221487" w:rsidP="00221487">
      <w:pPr>
        <w:spacing w:after="9"/>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b/>
          <w:noProof/>
          <w:sz w:val="24"/>
          <w:szCs w:val="24"/>
          <w:lang w:val="sq-AL"/>
        </w:rPr>
        <w:t xml:space="preserve">Masa 1: Ndryshimi i kuadrit ligjor dhe metodologjik të AB (e plotësuar)  </w:t>
      </w:r>
      <w:r w:rsidRPr="00221487">
        <w:rPr>
          <w:rFonts w:ascii="Times New Roman" w:eastAsia="Times New Roman" w:hAnsi="Times New Roman" w:cs="Times New Roman"/>
          <w:noProof/>
          <w:sz w:val="24"/>
          <w:szCs w:val="24"/>
          <w:lang w:val="sq-AL"/>
        </w:rPr>
        <w:t xml:space="preserve"> </w:t>
      </w:r>
    </w:p>
    <w:p w:rsidR="00221487" w:rsidRPr="00221487" w:rsidRDefault="00221487" w:rsidP="00221487">
      <w:pPr>
        <w:spacing w:after="0"/>
        <w:jc w:val="both"/>
        <w:rPr>
          <w:rFonts w:ascii="Times New Roman" w:eastAsia="Times New Roman" w:hAnsi="Times New Roman" w:cs="Times New Roman"/>
          <w:noProof/>
          <w:sz w:val="24"/>
          <w:szCs w:val="24"/>
          <w:lang w:val="sq-AL"/>
        </w:rPr>
      </w:pPr>
    </w:p>
    <w:p w:rsidR="00221487" w:rsidRPr="00221487" w:rsidRDefault="00221487" w:rsidP="00221487">
      <w:pPr>
        <w:spacing w:after="0"/>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Puna për ligjet dhe aktet nënligjore në fushën e auditimit të brendshëm përfundoi në fund të vitit 2017. Nuk kishte aktivitete të paplotësuara për t’u transferuar për vitin 2018. </w:t>
      </w:r>
    </w:p>
    <w:p w:rsidR="00221487" w:rsidRPr="00221487" w:rsidRDefault="00221487" w:rsidP="00221487">
      <w:pPr>
        <w:spacing w:after="3"/>
        <w:ind w:left="1"/>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 </w:t>
      </w:r>
    </w:p>
    <w:p w:rsidR="00221487" w:rsidRPr="00221487" w:rsidRDefault="00221487" w:rsidP="00221487">
      <w:pPr>
        <w:spacing w:after="9"/>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b/>
          <w:noProof/>
          <w:sz w:val="24"/>
          <w:szCs w:val="24"/>
          <w:lang w:val="sq-AL"/>
        </w:rPr>
        <w:t>Masa 2: Profesionalizimi i funksionit AB (e plotësuar)</w:t>
      </w:r>
      <w:r w:rsidRPr="00221487">
        <w:rPr>
          <w:rFonts w:ascii="Times New Roman" w:eastAsia="Times New Roman" w:hAnsi="Times New Roman" w:cs="Times New Roman"/>
          <w:noProof/>
          <w:sz w:val="24"/>
          <w:szCs w:val="24"/>
          <w:lang w:val="sq-AL"/>
        </w:rPr>
        <w:t xml:space="preserve"> </w:t>
      </w:r>
    </w:p>
    <w:p w:rsidR="00221487" w:rsidRPr="00221487" w:rsidRDefault="00221487" w:rsidP="00221487">
      <w:pPr>
        <w:spacing w:after="0"/>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Një nga objektivat më kryesore të HH/AB është </w:t>
      </w:r>
      <w:r w:rsidRPr="00221487">
        <w:rPr>
          <w:rFonts w:ascii="Times New Roman" w:eastAsia="Times New Roman" w:hAnsi="Times New Roman" w:cs="Times New Roman"/>
          <w:b/>
          <w:noProof/>
          <w:sz w:val="24"/>
          <w:szCs w:val="24"/>
          <w:lang w:val="sq-AL"/>
        </w:rPr>
        <w:t>përmirësimi i profesionalizmit të funksionit të AB</w:t>
      </w:r>
      <w:r w:rsidRPr="00221487">
        <w:rPr>
          <w:rFonts w:ascii="Times New Roman" w:eastAsia="Times New Roman" w:hAnsi="Times New Roman" w:cs="Times New Roman"/>
          <w:noProof/>
          <w:sz w:val="24"/>
          <w:szCs w:val="24"/>
          <w:lang w:val="sq-AL"/>
        </w:rPr>
        <w:t xml:space="preserve">. Në lidhje me programin e trajnimit të vazhdueshëm, MFE-ja i përcakton objektivat duke analizuar nevojat për trajnim të njësive të auditimit të brendshëm si dhe në bazë të zhvillimeve të reformës së menaxhimit financiar dhe të kontrollit.. </w:t>
      </w:r>
    </w:p>
    <w:p w:rsidR="00221487" w:rsidRPr="00221487" w:rsidRDefault="00221487" w:rsidP="00221487">
      <w:pPr>
        <w:spacing w:after="0"/>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Programi për vitin 2018, përfshinte tema specifike mbi menaxhimin financiar dhe kontrollin; prokurimin publik; ndryshimet në auditimin e jashtëm dhe inspektimet financiare; analiza dhe adresimi i detyrimeve të prapambetura; paraqitja e ndryshimeve në kuadrin rregullator; tema bashkëkohore të auditimit në sektorin publik, etj. </w:t>
      </w:r>
    </w:p>
    <w:p w:rsidR="00221487" w:rsidRPr="00221487" w:rsidRDefault="00221487" w:rsidP="00221487">
      <w:pPr>
        <w:spacing w:after="0"/>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lastRenderedPageBreak/>
        <w:t xml:space="preserve">Për këtë qëllim, gjatë vitit 2018, u bënë disa trajnime për audituesit e brendshëm (AB); trajnim për 24 auditues të brendshëm mbi auditimin e fondeve IPA dhe zhvillimin profesional të vazhdueshëm. Zhvillime të tjera në njësitë AB janë: </w:t>
      </w:r>
    </w:p>
    <w:p w:rsidR="00221487" w:rsidRPr="00221487" w:rsidRDefault="00221487" w:rsidP="007C6F79">
      <w:pPr>
        <w:numPr>
          <w:ilvl w:val="0"/>
          <w:numId w:val="16"/>
        </w:numPr>
        <w:spacing w:after="15"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Organizimi i 13 seancave të trajnimit për të cilën janë trajnuar 320 auditues të brendshëm në bashkëpunim me SHAP: </w:t>
      </w:r>
    </w:p>
    <w:p w:rsidR="00221487" w:rsidRPr="00221487" w:rsidRDefault="00221487" w:rsidP="007C6F79">
      <w:pPr>
        <w:numPr>
          <w:ilvl w:val="0"/>
          <w:numId w:val="16"/>
        </w:numPr>
        <w:spacing w:after="15"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Certifikimi i 47 punonjësve si “Auditues të brendshëm në sektorin publik” për periudhën 2017-2018, si dhe fillimin e procesit të ri të certifikimit për 48 auditues të brendshëm, për periudhën 2018-2019;</w:t>
      </w:r>
    </w:p>
    <w:p w:rsidR="00221487" w:rsidRPr="00221487" w:rsidRDefault="00221487" w:rsidP="007C6F79">
      <w:pPr>
        <w:numPr>
          <w:ilvl w:val="0"/>
          <w:numId w:val="16"/>
        </w:numPr>
        <w:spacing w:after="15" w:line="240" w:lineRule="auto"/>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10 kontrolle të jashtme të cilësisë u kryen në bashkëpunim me eskpertët e SIGMA në disa ML dhe njësi publike si vijon: Ministria e Turizmit dhe Mjedisit; Ministria e Mbrojtjes; Ministria e Arsimit, Sportit dhe Rinisë, Ministria për Evropën dhe Punët e Jashtme, Ministria e Brendshme, Ministria e Bujqësisë dhe Zhvillimit Rural; </w:t>
      </w:r>
      <w:r w:rsidRPr="00221487">
        <w:rPr>
          <w:rFonts w:ascii="Times New Roman" w:eastAsia="Times New Roman" w:hAnsi="Times New Roman" w:cs="Times New Roman"/>
          <w:noProof/>
          <w:sz w:val="24"/>
          <w:szCs w:val="24"/>
          <w:shd w:val="clear" w:color="auto" w:fill="FFFFFF" w:themeFill="background1"/>
          <w:lang w:val="sq-AL"/>
        </w:rPr>
        <w:t>Shoqëria e Parë Financiare për Zhvillimin,</w:t>
      </w:r>
      <w:r w:rsidRPr="00221487">
        <w:rPr>
          <w:rFonts w:ascii="Times New Roman" w:eastAsia="Times New Roman" w:hAnsi="Times New Roman" w:cs="Times New Roman"/>
          <w:noProof/>
          <w:sz w:val="24"/>
          <w:szCs w:val="24"/>
          <w:lang w:val="sq-AL"/>
        </w:rPr>
        <w:t xml:space="preserve"> S.A; Qendra Rajonale Spitalore e Bashkisë Vlorë; Qendra Rajonale Spitalore e Bashkisë Gjirokastër. Bazuar në gjetjet, ekipet e vlerësimit dolën në përfundime, të cilat janë trajtuar gjatë vlerësimit dhe raporteve përfundimtare. U bënë edhe rekomandime për të rritur veprimtarinë audituese në të ardhmen. </w:t>
      </w:r>
    </w:p>
    <w:p w:rsidR="00221487" w:rsidRPr="00221487" w:rsidRDefault="00221487" w:rsidP="00221487">
      <w:pPr>
        <w:spacing w:after="0"/>
        <w:jc w:val="both"/>
        <w:rPr>
          <w:rFonts w:ascii="Times New Roman" w:eastAsia="Times New Roman" w:hAnsi="Times New Roman" w:cs="Times New Roman"/>
          <w:noProof/>
          <w:sz w:val="24"/>
          <w:szCs w:val="24"/>
          <w:lang w:val="sq-AL"/>
        </w:rPr>
      </w:pPr>
    </w:p>
    <w:p w:rsidR="00221487" w:rsidRPr="00221487" w:rsidRDefault="00221487" w:rsidP="00221487">
      <w:pPr>
        <w:spacing w:after="0"/>
        <w:jc w:val="both"/>
        <w:rPr>
          <w:rFonts w:ascii="Times New Roman" w:eastAsia="Times New Roman" w:hAnsi="Times New Roman" w:cs="Times New Roman"/>
          <w:noProof/>
          <w:sz w:val="24"/>
          <w:szCs w:val="24"/>
          <w:lang w:val="sq-AL"/>
        </w:rPr>
      </w:pPr>
    </w:p>
    <w:p w:rsidR="00221487" w:rsidRPr="00221487" w:rsidRDefault="00221487" w:rsidP="00221487">
      <w:pPr>
        <w:spacing w:after="111"/>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b/>
          <w:noProof/>
          <w:sz w:val="24"/>
          <w:szCs w:val="24"/>
          <w:lang w:val="sq-AL"/>
        </w:rPr>
        <w:t xml:space="preserve">Masa 3: Forcimi i kapaciteteve të NJQH/AB (në proces/ me vonesë) </w:t>
      </w:r>
    </w:p>
    <w:p w:rsidR="00221487" w:rsidRPr="00221487" w:rsidRDefault="00221487" w:rsidP="00221487">
      <w:pPr>
        <w:spacing w:after="116"/>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Me strukturën e re të MFE-së që u aprovua në muajin qershor 2018, DH/AB ka 6 punonjës (1 drejtor edhe 5 specialistë). Pozicioni i drejtorit dhe i një specialisti janë vakante. Në lidhje me ngritjen e kapaciteteve të DH/AB, këta të fundit kanë marrë pjesë në disa trajnime dhe workshop si: Workshop “Për bashkëpunimin e audituesve të jashtëm me të brendshëm”; takimi “Grupi i Punës për auditimin në praktikë”, workshop “Trajnimi i trajnerëve për auditimin në sektorin publik”.</w:t>
      </w:r>
    </w:p>
    <w:p w:rsidR="00221487" w:rsidRPr="00221487" w:rsidRDefault="00221487" w:rsidP="00221487">
      <w:pPr>
        <w:spacing w:after="116" w:line="240" w:lineRule="auto"/>
        <w:jc w:val="both"/>
        <w:rPr>
          <w:rFonts w:ascii="Times New Roman" w:eastAsia="Times New Roman" w:hAnsi="Times New Roman" w:cs="Times New Roman"/>
          <w:noProof/>
          <w:sz w:val="24"/>
          <w:szCs w:val="24"/>
          <w:lang w:val="sq-AL"/>
        </w:rPr>
      </w:pPr>
    </w:p>
    <w:p w:rsidR="00221487" w:rsidRPr="00221487" w:rsidRDefault="00221487" w:rsidP="00221487">
      <w:pPr>
        <w:spacing w:after="0" w:line="240" w:lineRule="auto"/>
        <w:jc w:val="both"/>
        <w:rPr>
          <w:rFonts w:ascii="Times New Roman" w:eastAsia="Times New Roman" w:hAnsi="Times New Roman" w:cs="Times New Roman"/>
          <w:b/>
          <w:noProof/>
          <w:sz w:val="24"/>
          <w:szCs w:val="24"/>
          <w:lang w:val="sq-AL"/>
        </w:rPr>
      </w:pPr>
      <w:r w:rsidRPr="00221487">
        <w:rPr>
          <w:rFonts w:ascii="Times New Roman" w:eastAsia="Times New Roman" w:hAnsi="Times New Roman" w:cs="Times New Roman"/>
          <w:b/>
          <w:noProof/>
          <w:sz w:val="24"/>
          <w:szCs w:val="24"/>
          <w:lang w:val="sq-AL"/>
        </w:rPr>
        <w:t>3.5.4.</w:t>
      </w:r>
      <w:r w:rsidRPr="00221487">
        <w:rPr>
          <w:rFonts w:ascii="Arial" w:eastAsia="Arial" w:hAnsi="Arial" w:cs="Arial"/>
          <w:b/>
          <w:noProof/>
          <w:sz w:val="24"/>
          <w:szCs w:val="24"/>
          <w:lang w:val="sq-AL"/>
        </w:rPr>
        <w:t xml:space="preserve"> </w:t>
      </w:r>
      <w:r w:rsidRPr="00221487">
        <w:rPr>
          <w:rFonts w:ascii="Times New Roman" w:eastAsia="Times New Roman" w:hAnsi="Times New Roman" w:cs="Times New Roman"/>
          <w:b/>
          <w:noProof/>
          <w:sz w:val="24"/>
          <w:szCs w:val="24"/>
          <w:lang w:val="sq-AL"/>
        </w:rPr>
        <w:t xml:space="preserve">Inspektimi financiar publik </w:t>
      </w: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p>
    <w:p w:rsidR="00221487" w:rsidRPr="00221487" w:rsidRDefault="00221487" w:rsidP="00221487">
      <w:pPr>
        <w:spacing w:after="9"/>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b/>
          <w:noProof/>
          <w:sz w:val="24"/>
          <w:szCs w:val="24"/>
          <w:lang w:val="sq-AL"/>
        </w:rPr>
        <w:t xml:space="preserve">Masa 1: Rritja e aftësive të inspektorëve publikë (e plotësuar) </w:t>
      </w:r>
    </w:p>
    <w:p w:rsidR="00221487" w:rsidRPr="00221487" w:rsidRDefault="00221487" w:rsidP="00221487">
      <w:pPr>
        <w:spacing w:after="0"/>
        <w:jc w:val="both"/>
        <w:rPr>
          <w:rFonts w:ascii="Times New Roman" w:eastAsia="Times New Roman" w:hAnsi="Times New Roman" w:cs="Times New Roman"/>
          <w:noProof/>
          <w:sz w:val="24"/>
          <w:szCs w:val="24"/>
          <w:lang w:val="sq-AL"/>
        </w:rPr>
      </w:pPr>
    </w:p>
    <w:p w:rsidR="00221487" w:rsidRPr="00221487" w:rsidRDefault="00221487" w:rsidP="00221487">
      <w:pPr>
        <w:spacing w:after="0"/>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Një nga objektivat për vitin 2018, ishte zgjerimi i aftësive profesionale dhe rritja e përgjegjshmërisë dhe integrimit të inspektorëve financiarë publik përmes trajnimeve. Stafi i Drejtorisë Inspektimit Financiar Publik (IFP), (3 plus 1) morën pjesë në konferencën vjetore të AFCOS në muajin qershor 2018, e cila u mbajt në Sarajevë, Bosnje Herzegovina. </w:t>
      </w:r>
    </w:p>
    <w:p w:rsidR="00221487" w:rsidRPr="00221487" w:rsidRDefault="00221487" w:rsidP="00221487">
      <w:pPr>
        <w:spacing w:after="0"/>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Për shkak të mungesës së kapacitetit profesional të disa prej inspektorëve të jashtëm, e cila ndikon në cilësinë e shumë inspektimeve financiare, Drejtoria e IFP, ka filluar rishikimin e listës ekzistuese të inspektorëve publikë dhe do të vijojë me një propozim, i cili duhet të aprovohet nga Ministri i Financës dhe Ekonomisë, për emra të rinj në ato fusha ku mungon ekspertiza.  </w:t>
      </w:r>
    </w:p>
    <w:p w:rsidR="00221487" w:rsidRPr="00221487" w:rsidRDefault="00221487" w:rsidP="00221487">
      <w:pPr>
        <w:spacing w:after="0"/>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Megjithëse drejtoria është ballafaquar me mungesë stafi gjatë vitit 2017, tre vende vakante u plotësuan në vitin 2018. Megjithatë, ka ende dy vende vakante që do të shpallen dhe do të plotësohen. </w:t>
      </w:r>
    </w:p>
    <w:p w:rsidR="00221487" w:rsidRPr="00221487" w:rsidRDefault="00221487" w:rsidP="00221487">
      <w:pPr>
        <w:spacing w:after="3"/>
        <w:ind w:left="1"/>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 </w:t>
      </w:r>
    </w:p>
    <w:p w:rsidR="00221487" w:rsidRPr="00221487" w:rsidRDefault="00221487" w:rsidP="00221487">
      <w:pPr>
        <w:spacing w:after="0"/>
        <w:jc w:val="both"/>
        <w:rPr>
          <w:rFonts w:ascii="Times New Roman" w:eastAsia="Times New Roman" w:hAnsi="Times New Roman" w:cs="Times New Roman"/>
          <w:b/>
          <w:noProof/>
          <w:sz w:val="24"/>
          <w:szCs w:val="24"/>
          <w:lang w:val="sq-AL"/>
        </w:rPr>
      </w:pPr>
      <w:r w:rsidRPr="00221487">
        <w:rPr>
          <w:rFonts w:ascii="Times New Roman" w:eastAsia="Times New Roman" w:hAnsi="Times New Roman" w:cs="Times New Roman"/>
          <w:b/>
          <w:noProof/>
          <w:sz w:val="24"/>
          <w:szCs w:val="24"/>
          <w:lang w:val="sq-AL"/>
        </w:rPr>
        <w:t xml:space="preserve">Masa 2: Informimi dhe ndërgjegjësimi i autoriteteve dhe tre niveleve të larta drejtuese si dhe i publikut (e plotësuar) </w:t>
      </w:r>
    </w:p>
    <w:p w:rsidR="00221487" w:rsidRPr="00221487" w:rsidRDefault="00221487" w:rsidP="00221487">
      <w:pPr>
        <w:spacing w:after="0"/>
        <w:jc w:val="both"/>
        <w:rPr>
          <w:rFonts w:ascii="Times New Roman" w:eastAsia="Times New Roman" w:hAnsi="Times New Roman" w:cs="Times New Roman"/>
          <w:b/>
          <w:noProof/>
          <w:sz w:val="24"/>
          <w:szCs w:val="24"/>
          <w:lang w:val="sq-AL"/>
        </w:rPr>
      </w:pPr>
    </w:p>
    <w:p w:rsidR="00221487" w:rsidRPr="00221487" w:rsidRDefault="00221487" w:rsidP="00221487">
      <w:pPr>
        <w:spacing w:after="0"/>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Një nga objektivat më të rëndësishme të Drejtorisë IFP ishte rritja e ndërgjegjësimit për funksionin e inspektimit financiar publik. Në këtë drejtim, është shtuar një nënrubrikë e posaçme në faqen zyrtare të internetit të MFE-së “Denonco korrupsionin me fondet publike”. Kjo nënrubrikë përmban informacion të detajuar mbi funksionet dhe përgjegjësitë e Drejtorisë IFP si dhe informacion përshkrues për mënyrën si mund të denoncohet shpërdorimi dhe keqmenaxhimi i fondeve publike. </w:t>
      </w:r>
    </w:p>
    <w:p w:rsidR="00221487" w:rsidRPr="00221487" w:rsidRDefault="00221487" w:rsidP="00221487">
      <w:pPr>
        <w:spacing w:after="0"/>
        <w:jc w:val="both"/>
        <w:rPr>
          <w:rFonts w:ascii="Times New Roman" w:eastAsia="Times New Roman" w:hAnsi="Times New Roman" w:cs="Times New Roman"/>
          <w:noProof/>
          <w:sz w:val="24"/>
          <w:szCs w:val="24"/>
          <w:lang w:val="sq-AL"/>
        </w:rPr>
      </w:pPr>
      <w:r w:rsidRPr="00221487">
        <w:rPr>
          <w:rFonts w:ascii="Times New Roman" w:eastAsia="Times New Roman" w:hAnsi="Times New Roman" w:cs="Times New Roman"/>
          <w:noProof/>
          <w:sz w:val="24"/>
          <w:szCs w:val="24"/>
          <w:lang w:val="sq-AL"/>
        </w:rPr>
        <w:t xml:space="preserve">Për më tepër, janë mbajtur disa takime me inspektorët e jashtëm publikë si dhe me përfaqësuesit nga Prokuroria e Përgjithshme. Drejtoria IFP, në bashkëpunim me Njësitë për Auditimin e Brendshëm, organizoi dy aktivitete “Për ndarjen e misionit të inspektimit financiar publik dhe auditimit të brendshëm” ku morën pjesë audituesit e brendshëm. </w:t>
      </w:r>
    </w:p>
    <w:p w:rsidR="00221487" w:rsidRPr="00221487" w:rsidRDefault="00221487" w:rsidP="00221487">
      <w:pPr>
        <w:spacing w:after="116" w:line="240" w:lineRule="auto"/>
        <w:ind w:left="1"/>
        <w:rPr>
          <w:rFonts w:ascii="Times New Roman" w:eastAsia="Times New Roman" w:hAnsi="Times New Roman" w:cs="Times New Roman"/>
          <w:noProof/>
          <w:sz w:val="24"/>
          <w:szCs w:val="24"/>
          <w:lang w:val="sq-AL"/>
        </w:rPr>
      </w:pPr>
    </w:p>
    <w:p w:rsidR="00221487" w:rsidRPr="00221487" w:rsidRDefault="00221487" w:rsidP="00221487">
      <w:pPr>
        <w:keepNext/>
        <w:spacing w:after="0" w:line="240" w:lineRule="auto"/>
        <w:ind w:left="552"/>
        <w:jc w:val="both"/>
        <w:outlineLvl w:val="1"/>
        <w:rPr>
          <w:rFonts w:ascii="Times New Roman" w:eastAsia="Times" w:hAnsi="Times New Roman" w:cs="Times New Roman"/>
          <w:b/>
          <w:bCs/>
          <w:noProof/>
          <w:lang w:val="sq-AL"/>
        </w:rPr>
      </w:pPr>
      <w:bookmarkStart w:id="82" w:name="_Toc3984491"/>
      <w:r w:rsidRPr="00221487">
        <w:rPr>
          <w:rFonts w:ascii="Times New Roman" w:eastAsia="Times" w:hAnsi="Times New Roman" w:cs="Times New Roman"/>
          <w:b/>
          <w:bCs/>
          <w:noProof/>
          <w:lang w:val="sq-AL"/>
        </w:rPr>
        <w:t>3.6.</w:t>
      </w:r>
      <w:r w:rsidRPr="00221487">
        <w:rPr>
          <w:rFonts w:ascii="Arial" w:eastAsia="Arial" w:hAnsi="Arial" w:cs="Arial"/>
          <w:b/>
          <w:bCs/>
          <w:noProof/>
          <w:lang w:val="sq-AL"/>
        </w:rPr>
        <w:t xml:space="preserve"> </w:t>
      </w:r>
      <w:bookmarkStart w:id="83" w:name="_Hlk16243488"/>
      <w:r w:rsidRPr="00221487">
        <w:rPr>
          <w:rFonts w:ascii="Times New Roman" w:eastAsia="Times" w:hAnsi="Times New Roman" w:cs="Times New Roman"/>
          <w:b/>
          <w:bCs/>
          <w:noProof/>
          <w:lang w:val="sq-AL"/>
        </w:rPr>
        <w:t xml:space="preserve">Shtylla 6: </w:t>
      </w:r>
      <w:bookmarkStart w:id="84" w:name="_Hlk16240664"/>
      <w:r w:rsidRPr="00221487">
        <w:rPr>
          <w:rFonts w:ascii="Times New Roman" w:eastAsia="Times" w:hAnsi="Times New Roman" w:cs="Times New Roman"/>
          <w:b/>
          <w:bCs/>
          <w:noProof/>
          <w:lang w:val="sq-AL"/>
        </w:rPr>
        <w:t>Mbikëqyrje efektive e financave publike</w:t>
      </w:r>
      <w:bookmarkEnd w:id="82"/>
      <w:r w:rsidRPr="00221487">
        <w:rPr>
          <w:rFonts w:ascii="Times New Roman" w:eastAsia="Times" w:hAnsi="Times New Roman" w:cs="Times New Roman"/>
          <w:b/>
          <w:bCs/>
          <w:noProof/>
          <w:lang w:val="sq-AL"/>
        </w:rPr>
        <w:t xml:space="preserve"> </w:t>
      </w:r>
      <w:bookmarkEnd w:id="83"/>
      <w:bookmarkEnd w:id="84"/>
    </w:p>
    <w:p w:rsidR="00221487" w:rsidRPr="00221487" w:rsidRDefault="00221487" w:rsidP="00221487">
      <w:pPr>
        <w:spacing w:after="0" w:line="240" w:lineRule="auto"/>
        <w:ind w:left="1082"/>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 </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3.6.1. Përmbledhje e ecurisë së Shtyllës 6  </w:t>
      </w:r>
    </w:p>
    <w:p w:rsidR="00221487" w:rsidRPr="00221487" w:rsidRDefault="00221487" w:rsidP="00221487">
      <w:pPr>
        <w:spacing w:after="9" w:line="240" w:lineRule="auto"/>
        <w:ind w:left="1"/>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 </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b/>
          <w:noProof/>
          <w:lang w:val="sq-AL"/>
        </w:rPr>
        <w:t>Objektivi 1</w:t>
      </w:r>
      <w:r w:rsidRPr="00221487">
        <w:rPr>
          <w:rFonts w:ascii="Times New Roman" w:eastAsia="Times New Roman" w:hAnsi="Times New Roman" w:cs="Times New Roman"/>
          <w:noProof/>
          <w:lang w:val="sq-AL"/>
        </w:rPr>
        <w:t xml:space="preserve"> është objektivi i vetëm i Shtyllës 6 “</w:t>
      </w:r>
      <w:r w:rsidRPr="00221487">
        <w:rPr>
          <w:rFonts w:ascii="Times New Roman" w:eastAsia="Times New Roman" w:hAnsi="Times New Roman" w:cs="Times New Roman"/>
          <w:i/>
          <w:noProof/>
          <w:lang w:val="sq-AL"/>
        </w:rPr>
        <w:t>Forcimi i funksionit të mbikëqyrjes së jashtme duke e sjellë atë në përputhje me standardet e ISSAI-it”</w:t>
      </w:r>
      <w:r w:rsidRPr="00221487">
        <w:rPr>
          <w:rFonts w:ascii="Times New Roman" w:eastAsia="Times New Roman" w:hAnsi="Times New Roman" w:cs="Times New Roman"/>
          <w:noProof/>
          <w:lang w:val="sq-AL"/>
        </w:rPr>
        <w:t xml:space="preserve">. Tw tre treguesit e rezultateve të saj u </w:t>
      </w:r>
      <w:r w:rsidRPr="00221487">
        <w:rPr>
          <w:rFonts w:ascii="Times New Roman" w:eastAsia="Times New Roman" w:hAnsi="Times New Roman" w:cs="Times New Roman"/>
          <w:b/>
          <w:noProof/>
          <w:lang w:val="sq-AL"/>
        </w:rPr>
        <w:t>përmbushën</w:t>
      </w:r>
      <w:r w:rsidRPr="00221487">
        <w:rPr>
          <w:rFonts w:ascii="Times New Roman" w:eastAsia="Times New Roman" w:hAnsi="Times New Roman" w:cs="Times New Roman"/>
          <w:noProof/>
          <w:lang w:val="sq-AL"/>
        </w:rPr>
        <w:t>. Treguesi i rezultatit 1: “</w:t>
      </w:r>
      <w:r w:rsidRPr="00221487">
        <w:rPr>
          <w:rFonts w:ascii="Times New Roman" w:eastAsia="Times New Roman" w:hAnsi="Times New Roman" w:cs="Times New Roman"/>
          <w:i/>
          <w:noProof/>
          <w:lang w:val="sq-AL"/>
        </w:rPr>
        <w:t>Pesha e auditimeve financiare dhe të performancës të ndërmarrë nga KLSH-ja do të rritet krahasuar me auditimet e përputhshmërisë”</w:t>
      </w:r>
      <w:r w:rsidRPr="00221487">
        <w:rPr>
          <w:rFonts w:ascii="Times New Roman" w:eastAsia="Times New Roman" w:hAnsi="Times New Roman" w:cs="Times New Roman"/>
          <w:noProof/>
          <w:lang w:val="sq-AL"/>
        </w:rPr>
        <w:t xml:space="preserve">: u </w:t>
      </w:r>
      <w:r w:rsidRPr="00221487">
        <w:rPr>
          <w:rFonts w:ascii="Times New Roman" w:eastAsia="Times New Roman" w:hAnsi="Times New Roman" w:cs="Times New Roman"/>
          <w:b/>
          <w:noProof/>
          <w:lang w:val="sq-AL"/>
        </w:rPr>
        <w:t>përmbush</w:t>
      </w:r>
      <w:r w:rsidRPr="00221487">
        <w:rPr>
          <w:rFonts w:ascii="Times New Roman" w:eastAsia="Times New Roman" w:hAnsi="Times New Roman" w:cs="Times New Roman"/>
          <w:noProof/>
          <w:lang w:val="sq-AL"/>
        </w:rPr>
        <w:t xml:space="preserve">, ndërsa auditimet e përputhshmërisë u ulën në 56 përqind dhe në të njëjtën kohë auditimet financiare dhe të performances u rritën përkatësisht në </w:t>
      </w:r>
      <w:r w:rsidR="00E467B1">
        <w:rPr>
          <w:rFonts w:ascii="Times New Roman" w:eastAsia="Times New Roman" w:hAnsi="Times New Roman" w:cs="Times New Roman"/>
          <w:noProof/>
          <w:lang w:val="sq-AL"/>
        </w:rPr>
        <w:t xml:space="preserve">11 </w:t>
      </w:r>
      <w:r w:rsidRPr="00221487">
        <w:rPr>
          <w:rFonts w:ascii="Times New Roman" w:eastAsia="Times New Roman" w:hAnsi="Times New Roman" w:cs="Times New Roman"/>
          <w:noProof/>
          <w:lang w:val="sq-AL"/>
        </w:rPr>
        <w:t>dhe 1</w:t>
      </w:r>
      <w:r w:rsidR="00E467B1">
        <w:rPr>
          <w:rFonts w:ascii="Times New Roman" w:eastAsia="Times New Roman" w:hAnsi="Times New Roman" w:cs="Times New Roman"/>
          <w:noProof/>
          <w:lang w:val="sq-AL"/>
        </w:rPr>
        <w:t>7</w:t>
      </w:r>
      <w:r w:rsidRPr="00221487">
        <w:rPr>
          <w:rFonts w:ascii="Times New Roman" w:eastAsia="Times New Roman" w:hAnsi="Times New Roman" w:cs="Times New Roman"/>
          <w:noProof/>
          <w:lang w:val="sq-AL"/>
        </w:rPr>
        <w:t xml:space="preserve"> përqind. Treguesi i rezultatit 2: u </w:t>
      </w:r>
      <w:r w:rsidRPr="00221487">
        <w:rPr>
          <w:rFonts w:ascii="Times New Roman" w:eastAsia="Times New Roman" w:hAnsi="Times New Roman" w:cs="Times New Roman"/>
          <w:b/>
          <w:noProof/>
          <w:lang w:val="sq-AL"/>
        </w:rPr>
        <w:t>përmbush</w:t>
      </w:r>
      <w:r w:rsidRPr="00221487">
        <w:rPr>
          <w:rFonts w:ascii="Times New Roman" w:eastAsia="Times New Roman" w:hAnsi="Times New Roman" w:cs="Times New Roman"/>
          <w:noProof/>
          <w:lang w:val="sq-AL"/>
        </w:rPr>
        <w:t xml:space="preserve">: </w:t>
      </w:r>
      <w:r w:rsidRPr="00221487">
        <w:rPr>
          <w:rFonts w:ascii="Times New Roman" w:eastAsia="Times New Roman" w:hAnsi="Times New Roman" w:cs="Times New Roman"/>
          <w:i/>
          <w:noProof/>
          <w:lang w:val="sq-AL"/>
        </w:rPr>
        <w:t xml:space="preserve">“% e rekomandimeve të auditimit të pranuara dhe zbatuara nga palët e audituara është më i madh se 75.5%” </w:t>
      </w:r>
      <w:r w:rsidRPr="00221487">
        <w:rPr>
          <w:rFonts w:ascii="Times New Roman" w:eastAsia="Times New Roman" w:hAnsi="Times New Roman" w:cs="Times New Roman"/>
          <w:noProof/>
          <w:lang w:val="sq-AL"/>
        </w:rPr>
        <w:t>dhe përfshin dy objektiva të synuar, i pari nga të cilët është “</w:t>
      </w:r>
      <w:r w:rsidRPr="00221487">
        <w:rPr>
          <w:rFonts w:ascii="Times New Roman" w:eastAsia="Times New Roman" w:hAnsi="Times New Roman" w:cs="Times New Roman"/>
          <w:i/>
          <w:noProof/>
          <w:lang w:val="sq-AL"/>
        </w:rPr>
        <w:t>rekomandimet e pranuara të auditit kundrejt atyre të lëshuara”</w:t>
      </w:r>
      <w:r w:rsidRPr="00221487">
        <w:rPr>
          <w:rFonts w:ascii="Times New Roman" w:eastAsia="Times New Roman" w:hAnsi="Times New Roman" w:cs="Times New Roman"/>
          <w:noProof/>
          <w:lang w:val="sq-AL"/>
        </w:rPr>
        <w:t xml:space="preserve">, u </w:t>
      </w:r>
      <w:r w:rsidRPr="00221487">
        <w:rPr>
          <w:rFonts w:ascii="Times New Roman" w:eastAsia="Times New Roman" w:hAnsi="Times New Roman" w:cs="Times New Roman"/>
          <w:b/>
          <w:noProof/>
          <w:lang w:val="sq-AL"/>
        </w:rPr>
        <w:t>përmbush</w:t>
      </w:r>
      <w:r w:rsidRPr="00221487">
        <w:rPr>
          <w:rFonts w:ascii="Times New Roman" w:eastAsia="Times New Roman" w:hAnsi="Times New Roman" w:cs="Times New Roman"/>
          <w:noProof/>
          <w:lang w:val="sq-AL"/>
        </w:rPr>
        <w:t>;</w:t>
      </w:r>
      <w:r w:rsidRPr="00221487">
        <w:rPr>
          <w:rFonts w:ascii="Times New Roman" w:eastAsia="Times New Roman" w:hAnsi="Times New Roman" w:cs="Times New Roman"/>
          <w:b/>
          <w:noProof/>
          <w:lang w:val="sq-AL"/>
        </w:rPr>
        <w:t xml:space="preserve"> </w:t>
      </w:r>
      <w:r w:rsidRPr="00221487">
        <w:rPr>
          <w:rFonts w:ascii="Times New Roman" w:eastAsia="Times New Roman" w:hAnsi="Times New Roman" w:cs="Times New Roman"/>
          <w:noProof/>
          <w:lang w:val="sq-AL"/>
        </w:rPr>
        <w:t>dhe synimi i dytë,</w:t>
      </w:r>
      <w:r w:rsidRPr="00221487">
        <w:rPr>
          <w:rFonts w:ascii="Times New Roman" w:eastAsia="Times New Roman" w:hAnsi="Times New Roman" w:cs="Times New Roman"/>
          <w:b/>
          <w:noProof/>
          <w:lang w:val="sq-AL"/>
        </w:rPr>
        <w:t xml:space="preserve"> “</w:t>
      </w:r>
      <w:r w:rsidRPr="00221487">
        <w:rPr>
          <w:rFonts w:ascii="Times New Roman" w:eastAsia="Times New Roman" w:hAnsi="Times New Roman" w:cs="Times New Roman"/>
          <w:i/>
          <w:noProof/>
          <w:lang w:val="sq-AL"/>
        </w:rPr>
        <w:t>%</w:t>
      </w:r>
      <w:r w:rsidRPr="00221487">
        <w:rPr>
          <w:rFonts w:ascii="Times New Roman" w:eastAsia="Times New Roman" w:hAnsi="Times New Roman" w:cs="Times New Roman"/>
          <w:noProof/>
          <w:lang w:val="sq-AL"/>
        </w:rPr>
        <w:t xml:space="preserve"> e rekomandimeve të auditimit të zbatuara kundrejt atyre të lëshuara” u </w:t>
      </w:r>
      <w:r w:rsidRPr="00221487">
        <w:rPr>
          <w:rFonts w:ascii="Times New Roman" w:eastAsia="Times New Roman" w:hAnsi="Times New Roman" w:cs="Times New Roman"/>
          <w:b/>
          <w:noProof/>
          <w:lang w:val="sq-AL"/>
        </w:rPr>
        <w:t>përmbush</w:t>
      </w:r>
      <w:r w:rsidRPr="00221487">
        <w:rPr>
          <w:rFonts w:ascii="Times New Roman" w:eastAsia="Times New Roman" w:hAnsi="Times New Roman" w:cs="Times New Roman"/>
          <w:noProof/>
          <w:lang w:val="sq-AL"/>
        </w:rPr>
        <w:t>.</w:t>
      </w:r>
      <w:r w:rsidRPr="00221487">
        <w:rPr>
          <w:rFonts w:ascii="Times New Roman" w:eastAsia="Times New Roman" w:hAnsi="Times New Roman" w:cs="Times New Roman"/>
          <w:b/>
          <w:noProof/>
          <w:lang w:val="sq-AL"/>
        </w:rPr>
        <w:t xml:space="preserve"> </w:t>
      </w:r>
      <w:r w:rsidRPr="00221487">
        <w:rPr>
          <w:rFonts w:ascii="Times New Roman" w:eastAsia="Times New Roman" w:hAnsi="Times New Roman" w:cs="Times New Roman"/>
          <w:noProof/>
          <w:lang w:val="sq-AL"/>
        </w:rPr>
        <w:t>Synimi</w:t>
      </w:r>
      <w:r w:rsidRPr="00221487">
        <w:rPr>
          <w:rFonts w:ascii="Times New Roman" w:eastAsia="Times New Roman" w:hAnsi="Times New Roman" w:cs="Times New Roman"/>
          <w:b/>
          <w:noProof/>
          <w:lang w:val="sq-AL"/>
        </w:rPr>
        <w:t xml:space="preserve"> </w:t>
      </w:r>
      <w:r w:rsidRPr="00221487">
        <w:rPr>
          <w:rFonts w:ascii="Times New Roman" w:eastAsia="Times New Roman" w:hAnsi="Times New Roman" w:cs="Times New Roman"/>
          <w:noProof/>
          <w:lang w:val="sq-AL"/>
        </w:rPr>
        <w:t>i treguesit të rezultatit 3:</w:t>
      </w:r>
      <w:r w:rsidRPr="00221487">
        <w:rPr>
          <w:rFonts w:ascii="Times New Roman" w:eastAsia="Times New Roman" w:hAnsi="Times New Roman" w:cs="Times New Roman"/>
          <w:b/>
          <w:noProof/>
          <w:lang w:val="sq-AL"/>
        </w:rPr>
        <w:t xml:space="preserve"> “Është hartuar </w:t>
      </w:r>
      <w:r w:rsidRPr="00221487">
        <w:rPr>
          <w:rFonts w:ascii="Times New Roman" w:eastAsia="Times New Roman" w:hAnsi="Times New Roman" w:cs="Times New Roman"/>
          <w:i/>
          <w:noProof/>
          <w:lang w:val="sq-AL"/>
        </w:rPr>
        <w:t>strategjia e trajnimit, audituesit janë të trajnuar sipas ISSAI</w:t>
      </w:r>
      <w:r w:rsidRPr="00221487">
        <w:rPr>
          <w:rFonts w:ascii="Times New Roman" w:eastAsia="Times New Roman" w:hAnsi="Times New Roman" w:cs="Times New Roman"/>
          <w:noProof/>
          <w:lang w:val="sq-AL"/>
        </w:rPr>
        <w:t xml:space="preserve">” u </w:t>
      </w:r>
      <w:r w:rsidRPr="00221487">
        <w:rPr>
          <w:rFonts w:ascii="Times New Roman" w:eastAsia="Times New Roman" w:hAnsi="Times New Roman" w:cs="Times New Roman"/>
          <w:b/>
          <w:noProof/>
          <w:lang w:val="sq-AL"/>
        </w:rPr>
        <w:t>përmbush</w:t>
      </w:r>
      <w:r w:rsidRPr="00221487">
        <w:rPr>
          <w:rFonts w:ascii="Times New Roman" w:eastAsia="Times New Roman" w:hAnsi="Times New Roman" w:cs="Times New Roman"/>
          <w:noProof/>
          <w:lang w:val="sq-AL"/>
        </w:rPr>
        <w:t xml:space="preserve">. </w:t>
      </w:r>
    </w:p>
    <w:p w:rsidR="00221487" w:rsidRPr="00221487" w:rsidRDefault="00221487" w:rsidP="00221487">
      <w:pPr>
        <w:spacing w:after="0" w:line="240" w:lineRule="auto"/>
        <w:ind w:left="1"/>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 </w:t>
      </w:r>
    </w:p>
    <w:p w:rsidR="00221487" w:rsidRPr="00221487" w:rsidRDefault="00221487" w:rsidP="00221487">
      <w:pPr>
        <w:spacing w:after="9" w:line="234"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Në nivel aktiviteti, </w:t>
      </w:r>
      <w:r w:rsidRPr="00221487">
        <w:rPr>
          <w:rFonts w:ascii="Times New Roman" w:eastAsia="Times New Roman" w:hAnsi="Times New Roman" w:cs="Times New Roman"/>
          <w:b/>
          <w:noProof/>
          <w:lang w:val="sq-AL"/>
        </w:rPr>
        <w:t xml:space="preserve">kjo Shtyllë përbëhet nga 5 masa, ku tre janë plotësuar </w:t>
      </w:r>
      <w:r w:rsidRPr="00221487">
        <w:rPr>
          <w:rFonts w:ascii="Times New Roman" w:eastAsia="Times New Roman" w:hAnsi="Times New Roman" w:cs="Times New Roman"/>
          <w:noProof/>
          <w:lang w:val="sq-AL"/>
        </w:rPr>
        <w:t xml:space="preserve">dhe dy janë në proces (Graf. 9). </w:t>
      </w:r>
    </w:p>
    <w:p w:rsidR="00221487" w:rsidRPr="00221487" w:rsidRDefault="00221487" w:rsidP="00221487">
      <w:pPr>
        <w:spacing w:after="0"/>
        <w:rPr>
          <w:rFonts w:ascii="Times New Roman" w:eastAsia="Times New Roman" w:hAnsi="Times New Roman" w:cs="Times New Roman"/>
          <w:b/>
          <w:noProof/>
          <w:lang w:val="sq-AL"/>
        </w:rPr>
      </w:pPr>
      <w:r w:rsidRPr="00221487">
        <w:rPr>
          <w:rFonts w:ascii="Times New Roman" w:eastAsia="Times New Roman" w:hAnsi="Times New Roman" w:cs="Times New Roman"/>
          <w:noProof/>
          <w:lang w:val="sq-AL"/>
        </w:rPr>
        <w:t xml:space="preserve"> </w:t>
      </w:r>
      <w:r w:rsidRPr="00221487">
        <w:rPr>
          <w:rFonts w:ascii="Times New Roman" w:eastAsia="Times New Roman" w:hAnsi="Times New Roman" w:cs="Times New Roman"/>
          <w:b/>
          <w:noProof/>
          <w:lang w:val="sq-AL"/>
        </w:rPr>
        <w:t>Graf. 9: Shtylla 6: Mbikëqyrje efektive e financave publike</w:t>
      </w:r>
    </w:p>
    <w:tbl>
      <w:tblPr>
        <w:tblW w:w="9606" w:type="dxa"/>
        <w:tblBorders>
          <w:top w:val="single" w:sz="4" w:space="0" w:color="auto"/>
          <w:bottom w:val="single" w:sz="4" w:space="0" w:color="auto"/>
        </w:tblBorders>
        <w:tblLayout w:type="fixed"/>
        <w:tblLook w:val="04A0" w:firstRow="1" w:lastRow="0" w:firstColumn="1" w:lastColumn="0" w:noHBand="0" w:noVBand="1"/>
      </w:tblPr>
      <w:tblGrid>
        <w:gridCol w:w="5637"/>
        <w:gridCol w:w="3969"/>
      </w:tblGrid>
      <w:tr w:rsidR="00221487" w:rsidRPr="00221487" w:rsidTr="004342D7">
        <w:trPr>
          <w:trHeight w:val="3302"/>
        </w:trPr>
        <w:tc>
          <w:tcPr>
            <w:tcW w:w="5637" w:type="dxa"/>
          </w:tcPr>
          <w:p w:rsidR="00221487" w:rsidRPr="00221487" w:rsidRDefault="00221487" w:rsidP="00221487">
            <w:pPr>
              <w:spacing w:after="0" w:line="240" w:lineRule="auto"/>
              <w:jc w:val="both"/>
              <w:rPr>
                <w:rFonts w:ascii="Times New Roman" w:eastAsia="Times New Roman" w:hAnsi="Times New Roman" w:cs="Times New Roman"/>
                <w:noProof/>
                <w:highlight w:val="yellow"/>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Statusi i aktivitetit për vitin 2018</w:t>
            </w:r>
          </w:p>
          <w:p w:rsidR="00221487" w:rsidRPr="00221487" w:rsidRDefault="00221487" w:rsidP="00221487">
            <w:pPr>
              <w:spacing w:after="0" w:line="240" w:lineRule="auto"/>
              <w:jc w:val="both"/>
              <w:rPr>
                <w:rFonts w:ascii="Times New Roman" w:eastAsia="Times" w:hAnsi="Times New Roman" w:cs="Times New Roman"/>
                <w:noProof/>
                <w:highlight w:val="yellow"/>
                <w:lang w:val="sq-AL"/>
              </w:rPr>
            </w:pPr>
            <w:r w:rsidRPr="00221487">
              <w:rPr>
                <w:rFonts w:ascii="Times New Roman" w:eastAsia="Times New Roman" w:hAnsi="Times New Roman" w:cs="Times New Roman"/>
                <w:noProof/>
              </w:rPr>
              <w:drawing>
                <wp:inline distT="0" distB="0" distL="0" distR="0" wp14:anchorId="0BEF4612" wp14:editId="755FD7C2">
                  <wp:extent cx="3228975" cy="1724025"/>
                  <wp:effectExtent l="0" t="0" r="9525" b="9525"/>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c>
          <w:tcPr>
            <w:tcW w:w="3969" w:type="dxa"/>
          </w:tcPr>
          <w:p w:rsidR="00221487" w:rsidRPr="00221487" w:rsidRDefault="00221487" w:rsidP="00221487">
            <w:pPr>
              <w:spacing w:after="0" w:line="240" w:lineRule="auto"/>
              <w:jc w:val="both"/>
              <w:rPr>
                <w:rFonts w:ascii="Times New Roman" w:eastAsia="Times" w:hAnsi="Times New Roman" w:cs="Times New Roman"/>
                <w:noProof/>
                <w:highlight w:val="yellow"/>
                <w:lang w:val="sq-AL"/>
              </w:rPr>
            </w:pPr>
          </w:p>
          <w:p w:rsidR="00221487" w:rsidRPr="00221487" w:rsidRDefault="00221487" w:rsidP="00221487">
            <w:pPr>
              <w:spacing w:after="0" w:line="240" w:lineRule="auto"/>
              <w:jc w:val="both"/>
              <w:rPr>
                <w:rFonts w:ascii="Times New Roman" w:eastAsia="Times" w:hAnsi="Times New Roman" w:cs="Times New Roman"/>
                <w:noProof/>
                <w:highlight w:val="yellow"/>
                <w:lang w:val="sq-AL"/>
              </w:rPr>
            </w:pPr>
          </w:p>
          <w:p w:rsidR="00221487" w:rsidRPr="00221487" w:rsidRDefault="00221487" w:rsidP="00221487">
            <w:pPr>
              <w:spacing w:after="0" w:line="240" w:lineRule="auto"/>
              <w:jc w:val="both"/>
              <w:rPr>
                <w:rFonts w:ascii="Times New Roman" w:eastAsia="Times" w:hAnsi="Times New Roman" w:cs="Times New Roman"/>
                <w:noProof/>
                <w:highlight w:val="yellow"/>
                <w:lang w:val="sq-AL"/>
              </w:rPr>
            </w:pPr>
          </w:p>
          <w:tbl>
            <w:tblPr>
              <w:tblW w:w="2615" w:type="dxa"/>
              <w:tblLayout w:type="fixed"/>
              <w:tblLook w:val="04A0" w:firstRow="1" w:lastRow="0" w:firstColumn="1" w:lastColumn="0" w:noHBand="0" w:noVBand="1"/>
            </w:tblPr>
            <w:tblGrid>
              <w:gridCol w:w="2379"/>
              <w:gridCol w:w="236"/>
            </w:tblGrid>
            <w:tr w:rsidR="00221487" w:rsidRPr="00221487" w:rsidTr="004342D7">
              <w:trPr>
                <w:trHeight w:val="315"/>
              </w:trPr>
              <w:tc>
                <w:tcPr>
                  <w:tcW w:w="2615" w:type="dxa"/>
                  <w:gridSpan w:val="2"/>
                  <w:tcBorders>
                    <w:top w:val="nil"/>
                    <w:left w:val="nil"/>
                    <w:bottom w:val="single" w:sz="8" w:space="0" w:color="auto"/>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Nr. i aktiviteteve</w:t>
                  </w:r>
                </w:p>
              </w:tc>
            </w:tr>
            <w:tr w:rsidR="00221487" w:rsidRPr="00221487" w:rsidTr="004342D7">
              <w:trPr>
                <w:trHeight w:val="315"/>
              </w:trPr>
              <w:tc>
                <w:tcPr>
                  <w:tcW w:w="2379" w:type="dxa"/>
                  <w:tcBorders>
                    <w:top w:val="nil"/>
                    <w:left w:val="nil"/>
                    <w:bottom w:val="nil"/>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Të plotësuara</w:t>
                  </w:r>
                </w:p>
              </w:tc>
              <w:tc>
                <w:tcPr>
                  <w:tcW w:w="236" w:type="dxa"/>
                  <w:tcBorders>
                    <w:top w:val="nil"/>
                    <w:left w:val="nil"/>
                    <w:bottom w:val="nil"/>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3</w:t>
                  </w:r>
                </w:p>
              </w:tc>
            </w:tr>
            <w:tr w:rsidR="00221487" w:rsidRPr="00221487" w:rsidTr="004342D7">
              <w:trPr>
                <w:trHeight w:val="315"/>
              </w:trPr>
              <w:tc>
                <w:tcPr>
                  <w:tcW w:w="2379" w:type="dxa"/>
                  <w:tcBorders>
                    <w:top w:val="nil"/>
                    <w:left w:val="nil"/>
                    <w:bottom w:val="nil"/>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Në proces</w:t>
                  </w:r>
                </w:p>
              </w:tc>
              <w:tc>
                <w:tcPr>
                  <w:tcW w:w="236" w:type="dxa"/>
                  <w:tcBorders>
                    <w:top w:val="nil"/>
                    <w:left w:val="nil"/>
                    <w:bottom w:val="nil"/>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2</w:t>
                  </w:r>
                </w:p>
              </w:tc>
            </w:tr>
            <w:tr w:rsidR="00221487" w:rsidRPr="00221487" w:rsidTr="004342D7">
              <w:trPr>
                <w:trHeight w:val="315"/>
              </w:trPr>
              <w:tc>
                <w:tcPr>
                  <w:tcW w:w="2379" w:type="dxa"/>
                  <w:tcBorders>
                    <w:top w:val="nil"/>
                    <w:left w:val="nil"/>
                    <w:bottom w:val="single" w:sz="8" w:space="0" w:color="auto"/>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Nuk kanë filluar</w:t>
                  </w:r>
                </w:p>
              </w:tc>
              <w:tc>
                <w:tcPr>
                  <w:tcW w:w="236" w:type="dxa"/>
                  <w:tcBorders>
                    <w:top w:val="nil"/>
                    <w:left w:val="nil"/>
                    <w:bottom w:val="single" w:sz="8" w:space="0" w:color="auto"/>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0</w:t>
                  </w:r>
                </w:p>
              </w:tc>
            </w:tr>
            <w:tr w:rsidR="00221487" w:rsidRPr="00221487" w:rsidTr="004342D7">
              <w:trPr>
                <w:trHeight w:val="300"/>
              </w:trPr>
              <w:tc>
                <w:tcPr>
                  <w:tcW w:w="2379" w:type="dxa"/>
                  <w:tcBorders>
                    <w:top w:val="nil"/>
                    <w:left w:val="nil"/>
                    <w:bottom w:val="nil"/>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lang w:val="sq-AL"/>
                    </w:rPr>
                  </w:pPr>
                </w:p>
              </w:tc>
              <w:tc>
                <w:tcPr>
                  <w:tcW w:w="236" w:type="dxa"/>
                  <w:tcBorders>
                    <w:top w:val="nil"/>
                    <w:left w:val="nil"/>
                    <w:bottom w:val="nil"/>
                    <w:right w:val="nil"/>
                  </w:tcBorders>
                  <w:shd w:val="clear" w:color="auto" w:fill="auto"/>
                  <w:noWrap/>
                  <w:vAlign w:val="bottom"/>
                  <w:hideMark/>
                </w:tcPr>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5</w:t>
                  </w:r>
                </w:p>
              </w:tc>
            </w:tr>
          </w:tbl>
          <w:p w:rsidR="00221487" w:rsidRPr="00221487" w:rsidRDefault="00221487" w:rsidP="00221487">
            <w:pPr>
              <w:spacing w:after="0" w:line="240" w:lineRule="auto"/>
              <w:jc w:val="both"/>
              <w:rPr>
                <w:rFonts w:ascii="Times New Roman" w:eastAsia="Times" w:hAnsi="Times New Roman" w:cs="Times New Roman"/>
                <w:noProof/>
                <w:highlight w:val="yellow"/>
                <w:lang w:val="sq-AL"/>
              </w:rPr>
            </w:pPr>
          </w:p>
          <w:p w:rsidR="00221487" w:rsidRPr="00221487" w:rsidRDefault="00221487" w:rsidP="00221487">
            <w:pPr>
              <w:spacing w:after="0" w:line="240" w:lineRule="auto"/>
              <w:jc w:val="both"/>
              <w:rPr>
                <w:rFonts w:ascii="Times New Roman" w:eastAsia="Times" w:hAnsi="Times New Roman" w:cs="Times New Roman"/>
                <w:noProof/>
                <w:highlight w:val="yellow"/>
                <w:lang w:val="sq-AL"/>
              </w:rPr>
            </w:pPr>
          </w:p>
          <w:p w:rsidR="00221487" w:rsidRPr="00221487" w:rsidRDefault="00221487" w:rsidP="00221487">
            <w:pPr>
              <w:spacing w:after="0" w:line="240" w:lineRule="auto"/>
              <w:jc w:val="both"/>
              <w:rPr>
                <w:rFonts w:ascii="Times New Roman" w:eastAsia="Times" w:hAnsi="Times New Roman" w:cs="Times New Roman"/>
                <w:noProof/>
                <w:highlight w:val="yellow"/>
                <w:lang w:val="sq-AL"/>
              </w:rPr>
            </w:pPr>
          </w:p>
          <w:p w:rsidR="00221487" w:rsidRPr="00221487" w:rsidRDefault="00221487" w:rsidP="00221487">
            <w:pPr>
              <w:spacing w:after="0" w:line="240" w:lineRule="auto"/>
              <w:jc w:val="both"/>
              <w:rPr>
                <w:rFonts w:ascii="Times New Roman" w:eastAsia="Times" w:hAnsi="Times New Roman" w:cs="Times New Roman"/>
                <w:noProof/>
                <w:highlight w:val="yellow"/>
                <w:lang w:val="sq-AL"/>
              </w:rPr>
            </w:pPr>
          </w:p>
          <w:p w:rsidR="00221487" w:rsidRPr="00221487" w:rsidRDefault="00221487" w:rsidP="00221487">
            <w:pPr>
              <w:spacing w:after="0" w:line="240" w:lineRule="auto"/>
              <w:jc w:val="both"/>
              <w:rPr>
                <w:rFonts w:ascii="Times New Roman" w:eastAsia="Times" w:hAnsi="Times New Roman" w:cs="Times New Roman"/>
                <w:noProof/>
                <w:highlight w:val="yellow"/>
                <w:lang w:val="sq-AL"/>
              </w:rPr>
            </w:pPr>
          </w:p>
        </w:tc>
      </w:tr>
    </w:tbl>
    <w:p w:rsidR="00221487" w:rsidRPr="00221487" w:rsidRDefault="00221487" w:rsidP="00221487">
      <w:pPr>
        <w:spacing w:before="8"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b/>
          <w:noProof/>
          <w:lang w:val="af-ZA"/>
        </w:rPr>
        <w:t>Produktet dhe sfidat</w:t>
      </w:r>
      <w:r w:rsidRPr="00221487">
        <w:rPr>
          <w:rFonts w:ascii="Times New Roman" w:eastAsia="Times New Roman" w:hAnsi="Times New Roman" w:cs="Times New Roman"/>
          <w:noProof/>
          <w:lang w:val="af-ZA"/>
        </w:rPr>
        <w:t xml:space="preserve"> kundrejt masave janë si më poshtë</w:t>
      </w:r>
      <w:r w:rsidRPr="00221487">
        <w:rPr>
          <w:rFonts w:ascii="Times New Roman" w:eastAsia="Times New Roman" w:hAnsi="Times New Roman" w:cs="Times New Roman"/>
          <w:noProof/>
          <w:lang w:val="sq-AL"/>
        </w:rPr>
        <w:t xml:space="preserve">: </w:t>
      </w:r>
    </w:p>
    <w:p w:rsidR="00221487" w:rsidRPr="00221487" w:rsidRDefault="00221487" w:rsidP="00221487">
      <w:pPr>
        <w:spacing w:after="0" w:line="240" w:lineRule="auto"/>
        <w:ind w:left="1"/>
        <w:rPr>
          <w:rFonts w:ascii="Times New Roman" w:eastAsia="Times New Roman" w:hAnsi="Times New Roman" w:cs="Times New Roman"/>
          <w:noProof/>
          <w:lang w:val="sq-AL"/>
        </w:rPr>
      </w:pPr>
      <w:r w:rsidRPr="00221487">
        <w:rPr>
          <w:rFonts w:ascii="Times New Roman" w:eastAsia="Times New Roman" w:hAnsi="Times New Roman" w:cs="Times New Roman"/>
          <w:i/>
          <w:noProof/>
          <w:lang w:val="sq-AL"/>
        </w:rPr>
        <w:t xml:space="preserve"> </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lastRenderedPageBreak/>
        <w:t>Janë kryer rreth 171 auditime</w:t>
      </w:r>
      <w:r w:rsidRPr="00221487">
        <w:rPr>
          <w:rFonts w:ascii="Times New Roman" w:eastAsia="Times" w:hAnsi="Times New Roman" w:cs="Times New Roman"/>
          <w:noProof/>
          <w:sz w:val="24"/>
          <w:szCs w:val="24"/>
          <w:vertAlign w:val="superscript"/>
          <w:lang w:val="sq-AL"/>
        </w:rPr>
        <w:footnoteReference w:id="31"/>
      </w:r>
      <w:r w:rsidRPr="00221487">
        <w:rPr>
          <w:rFonts w:ascii="Times New Roman" w:eastAsia="Times New Roman" w:hAnsi="Times New Roman" w:cs="Times New Roman"/>
          <w:noProof/>
          <w:lang w:val="sq-AL"/>
        </w:rPr>
        <w:t xml:space="preserve">: 94 auditime të përputhshmërisë (nga të cilat 42 auditime pilote të përputhshmërisë); 29 auditime financiare (auditime pilot); 18 auditime të performancës; 6 auditime të TI-së; dhe 24 auditime tematike. Numri i auditimeve pilote është rritur, në përputhje me rekomandimet e Raport Progresit të KE-së dhe SIGMA-s. Objektivat e përcaktuara në Planin Vjetor të Auditimit për vitin 2018, janë përmbushur si për kryerjen e 42 auditimeve pilote të përputhshmërisë dhe 29 auditimeve pilote financiar.  </w:t>
      </w: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Për 144 auditimet e kryera gjatë periudhës 1 korrik 2017 deri më 30 qershor 2018, KLSH-ja ka kryer 84 auditime për të verifikuar nëse janë ndjekur rekomandimet nga palët e audituara. Shkalla e rekomandimeve të pranuara dhe të zbatuara të auditimit ka pasur një rritje të konsiderueshme, ku rekomandimet e pranuara janë rritur me 96% dhe shkalla e rekomandimeve të zbatuara është rritur me 60%. Rekomandimet kishin të bënin me propozimet për përmirësimin e kornizës ligjore, propozime për masa korrigjuese: masat organizative, administrative dhe disiplinore. KLSH-ja ka rritur vazhdimisht përpjekjet e saj për të rritur shkallën e rekomandimeve të pranuara dhe zbatuara nga palët e audituara, dhe për të rritur më tej ndikimin e punës së auditimit. </w:t>
      </w: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2"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i/>
          <w:noProof/>
          <w:lang w:val="sq-AL"/>
        </w:rPr>
        <w:t xml:space="preserve">Harmonizimi i procedurave të auditimit me standardet ndërkombëtare (ISSAI) (i përfunduar): </w:t>
      </w:r>
      <w:r w:rsidRPr="00221487">
        <w:rPr>
          <w:rFonts w:ascii="Times New Roman" w:eastAsia="Times New Roman" w:hAnsi="Times New Roman" w:cs="Times New Roman"/>
          <w:noProof/>
          <w:lang w:val="sq-AL"/>
        </w:rPr>
        <w:t>Mesatarisht 29 ditë trajnim ju ofruan të gjithë audituesve dhe stafit të KLSH-së. Në vitin 2018, zhvillimi i vazhdueshëm profesional u realizua përmes tre seancave kryesore, nga 10-20 tema në muajt qershor, gusht dhe nëntor 2018, dhe u organizuan trajnime brenda ambienteve të institucionit me grupin e ekspertëve të KLSH-së. Seancat e trajnimit dhe seminaret e zhvilluara në bashkëpunim me ekspertë, në kuadër të projektit "</w:t>
      </w:r>
      <w:r w:rsidRPr="00221487">
        <w:rPr>
          <w:rFonts w:ascii="Times New Roman" w:eastAsia="Times New Roman" w:hAnsi="Times New Roman" w:cs="Times New Roman"/>
          <w:i/>
          <w:noProof/>
          <w:lang w:val="sq-AL"/>
        </w:rPr>
        <w:t>Forcimi i kapaciteteve të auditimit të jashtëm</w:t>
      </w:r>
      <w:r w:rsidRPr="00221487">
        <w:rPr>
          <w:rFonts w:ascii="Times New Roman" w:eastAsia="Times New Roman" w:hAnsi="Times New Roman" w:cs="Times New Roman"/>
          <w:noProof/>
          <w:lang w:val="sq-AL"/>
        </w:rPr>
        <w:t>” duke u përqendruar në pasqyrat financiare dhe procesin e auditimit të përputhshmërisë, në përputhje me një metodologji të bazuar në risk dhe në zbatimin praktik të procedurave dhe teknikave të auditimit.</w:t>
      </w:r>
    </w:p>
    <w:p w:rsidR="00221487" w:rsidRPr="00221487" w:rsidRDefault="00221487" w:rsidP="00221487">
      <w:pPr>
        <w:spacing w:after="2"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i/>
          <w:noProof/>
          <w:lang w:val="sq-AL"/>
        </w:rPr>
      </w:pPr>
      <w:r w:rsidRPr="00221487">
        <w:rPr>
          <w:rFonts w:ascii="Times New Roman" w:eastAsia="Times New Roman" w:hAnsi="Times New Roman" w:cs="Times New Roman"/>
          <w:i/>
          <w:noProof/>
          <w:lang w:val="sq-AL"/>
        </w:rPr>
        <w:t xml:space="preserve">Rritja e trajnimit dhe përdorimi i teknologjisë së informacionit në të njëjtën kohë me prezantimin e qasjeve të reja të auditimit (përfunduar): </w:t>
      </w:r>
      <w:r w:rsidRPr="00221487">
        <w:rPr>
          <w:rFonts w:ascii="Times New Roman" w:eastAsia="Times New Roman" w:hAnsi="Times New Roman" w:cs="Times New Roman"/>
          <w:noProof/>
          <w:lang w:val="sq-AL"/>
        </w:rPr>
        <w:t>Drejtoria e Auditimit të TI-së u modernizua dhe u krijua Departamenti i Auditimit të TI-së duke shtuar numrin e audituesve të TI-së në 10 auditues. Çdo auditues i TI-së u trajnua për më shumë se 25 ditë përgjatë gjithë vitit 2018. Metodologjia dhe udhëzimet e auditimit të TI-së u zhvilluan dhe përditësuan mbi bazën e rritjes së kapaciteteve të auditimit të TI-së. Departamenti i Auditimit të TI-së ka realizuar gjithsej gjashtë auditime të TI-së, përfshirë dy auditime pilote. Në nëntor 2018, në Tiranë u organizua një seminar dy ditorë nën Programin EUROSAI me pjesëmarrjen e audituesëve të KLSH-së të rajonit, si dhe audituesëve të TI-së të KLSH-së shqiptare.</w:t>
      </w:r>
    </w:p>
    <w:p w:rsidR="00221487" w:rsidRPr="00221487" w:rsidRDefault="00221487" w:rsidP="00221487">
      <w:pPr>
        <w:spacing w:after="0" w:line="240" w:lineRule="auto"/>
        <w:jc w:val="both"/>
        <w:rPr>
          <w:rFonts w:ascii="Times New Roman" w:eastAsia="Times New Roman" w:hAnsi="Times New Roman" w:cs="Times New Roman"/>
          <w:i/>
          <w:noProof/>
          <w:lang w:val="sq-AL"/>
        </w:rPr>
      </w:pPr>
    </w:p>
    <w:p w:rsidR="00221487" w:rsidRPr="00221487" w:rsidRDefault="00221487" w:rsidP="00221487">
      <w:pPr>
        <w:spacing w:after="0"/>
        <w:jc w:val="both"/>
        <w:rPr>
          <w:rFonts w:ascii="Times New Roman" w:eastAsia="Times New Roman" w:hAnsi="Times New Roman" w:cs="Times New Roman"/>
          <w:i/>
          <w:noProof/>
          <w:lang w:val="sq-AL"/>
        </w:rPr>
      </w:pPr>
      <w:r w:rsidRPr="00221487">
        <w:rPr>
          <w:rFonts w:ascii="Times New Roman" w:eastAsia="Times New Roman" w:hAnsi="Times New Roman" w:cs="Times New Roman"/>
          <w:i/>
          <w:noProof/>
          <w:lang w:val="sq-AL"/>
        </w:rPr>
        <w:t xml:space="preserve">Përmirësimi i marrëdhënieve të komunikimit me klientët kryesorë si parlamenti, qeveria, media dhe qytetarët në mënyrë që të përmirësohet ndikimi i punës së auditimit (në proces/ me vonesë): </w:t>
      </w:r>
      <w:r w:rsidRPr="00221487">
        <w:rPr>
          <w:rFonts w:ascii="Times New Roman" w:eastAsia="Times New Roman" w:hAnsi="Times New Roman" w:cs="Times New Roman"/>
          <w:noProof/>
          <w:lang w:val="sq-AL"/>
        </w:rPr>
        <w:t>KLSH-ja vazhdon të përmirësojë marrëdhëniet e saj me Parlamentin, veçanërisht me Komisionin e Ekonomisë dhe Financave. Nën këtë fokus, udhëzimi "Institucionalizimi i marrëdhënieve midis KLSH-së dhe Parlamentit" u miratua nga Kryetari i KLSH-së më 30 qershor 2018. Plani i Veprimit "Për Zbatimin e Rekomandimeve të Rezolutës së Parlamentit i datës 19 korrik 2018" është aprovuar nga Kryetari i KLSH-së. KLSH-ja i ka dërguar parlamentit shqiptar 56 vendime / raporte auditimi, në lidhje me çështje shumë të ndjeshme. Takimi "Për zhvillimin e marrëdhënieve efektive të punës midis KLSH-së dhe Parlamentit" të organizuar nga KLSH-ja dhe SIGMA, më 4 qershor 2018 luajti një rol të madh në rritjen e bashkëpunimit ndërmjet KLSH-së dhe Parlamentit. Konferenca kombëtare "Për një autoritet kombëtar  antikorrupsioni të mirëvendosur në sistemin qeveritar" të organizuar nga KLSH-ja në bashkëpunim me Institutin për Demokraci dhe Ndërmjetësim (IDN), të zhvilluar më 14 dhjetor 2018, u përqëndrua në çështjet e anti-korrupsionit, me pjesëmarrjen e deputetëve të Parlamentit të Shqipërisë.</w:t>
      </w:r>
    </w:p>
    <w:p w:rsidR="00221487" w:rsidRPr="00221487" w:rsidRDefault="00221487" w:rsidP="00221487">
      <w:pPr>
        <w:spacing w:after="0"/>
        <w:jc w:val="both"/>
        <w:rPr>
          <w:rFonts w:ascii="Times New Roman" w:eastAsia="Times New Roman" w:hAnsi="Times New Roman" w:cs="Times New Roman"/>
          <w:i/>
          <w:noProof/>
          <w:lang w:val="sq-AL"/>
        </w:rPr>
      </w:pPr>
    </w:p>
    <w:p w:rsidR="00221487" w:rsidRPr="00221487" w:rsidRDefault="00221487" w:rsidP="00221487">
      <w:pPr>
        <w:spacing w:after="0"/>
        <w:jc w:val="both"/>
        <w:rPr>
          <w:rFonts w:ascii="Times New Roman" w:eastAsia="Times New Roman" w:hAnsi="Times New Roman" w:cs="Times New Roman"/>
          <w:noProof/>
          <w:lang w:val="sq-AL"/>
        </w:rPr>
      </w:pPr>
      <w:r w:rsidRPr="00221487">
        <w:rPr>
          <w:rFonts w:ascii="Times New Roman" w:eastAsia="Times New Roman" w:hAnsi="Times New Roman" w:cs="Times New Roman"/>
          <w:i/>
          <w:noProof/>
          <w:lang w:val="sq-AL"/>
        </w:rPr>
        <w:lastRenderedPageBreak/>
        <w:t xml:space="preserve">Prezantimi i aktivitete të sigurimit të cilësisë gjatë auditimit (në proces / me vonesë): </w:t>
      </w:r>
      <w:r w:rsidRPr="00221487">
        <w:rPr>
          <w:rFonts w:ascii="Times New Roman" w:eastAsia="Times New Roman" w:hAnsi="Times New Roman" w:cs="Times New Roman"/>
          <w:noProof/>
          <w:lang w:val="sq-AL"/>
        </w:rPr>
        <w:t>Gjatë vitit 2018, KLSH-ja synoi forcimin e menaxhimit të përgjithshëm të cilësisë së auditimeve të tij, duke përfshirë të dy aspektet: kontrollin e cilësisë (KC) dhe sigurimin e cilësisë (SC). Vendimi i kryetarit të KLSH-së "Për Sigurimin e Cilësisë së Dosjeve të Auditimit" hartohet në fund të vitit, me qëllim që të realizohet një rishikim i pavarur të punës së auditimit të kryer gjatë vitit të kaluar. Janë përgatitur një numër listash kontrolli dhe udhëzimesh të posaçme për KC-të dhe SC-të dhe janë duke u pilotuar në procedurat e auditimit të KLSH-së.</w:t>
      </w:r>
    </w:p>
    <w:p w:rsidR="00221487" w:rsidRPr="00221487" w:rsidRDefault="00221487" w:rsidP="00221487">
      <w:pPr>
        <w:spacing w:after="0" w:line="240" w:lineRule="auto"/>
        <w:rPr>
          <w:rFonts w:ascii="Times New Roman" w:eastAsia="Times New Roman" w:hAnsi="Times New Roman" w:cs="Times New Roman"/>
          <w:noProof/>
          <w:highlight w:val="yellow"/>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r w:rsidRPr="00221487">
        <w:rPr>
          <w:rFonts w:ascii="Times New Roman" w:eastAsia="Times New Roman" w:hAnsi="Times New Roman" w:cs="Times New Roman"/>
          <w:i/>
          <w:noProof/>
          <w:lang w:val="sq-AL"/>
        </w:rPr>
        <w:t xml:space="preserve">Ndryshime në manualet e auditimit për të përfshirë aktivitete për zbulimin e rasteve të korrupsionit dhe mashtrimit (i përfunduar): </w:t>
      </w:r>
      <w:r w:rsidRPr="00221487">
        <w:rPr>
          <w:rFonts w:ascii="Times New Roman" w:eastAsia="Times New Roman" w:hAnsi="Times New Roman" w:cs="Times New Roman"/>
          <w:noProof/>
          <w:lang w:val="sq-AL"/>
        </w:rPr>
        <w:t>Lidhur me rëndësinë dhe rolin e KLSH-së në trajtimin dhe luftën kundër korrupsionit dhe mashtrimit, ekspertët e IPA-s organizuan trajnime për audituesit që mbulojnë disa tema. Manuali për Auditimin e Mashtrimit dhe Korrupsionit, i zhvilluar në bashkëpunim me ekspertët e KLSH-së të Polonisë, është aprovuar me vendimin e Kryetarit të KLSH-së nr.70, datë 30 qershor 2018. Trajnimet në bazë të këtij manuali organizohen gjatë muajve gusht dhe nëntor për të gjithë audituesët.</w:t>
      </w:r>
    </w:p>
    <w:p w:rsidR="00221487" w:rsidRPr="00221487" w:rsidRDefault="00221487" w:rsidP="00221487">
      <w:pPr>
        <w:spacing w:after="0" w:line="240" w:lineRule="auto"/>
        <w:jc w:val="both"/>
        <w:rPr>
          <w:rFonts w:ascii="Times New Roman" w:eastAsia="Times New Roman" w:hAnsi="Times New Roman" w:cs="Times New Roman"/>
          <w:i/>
          <w:noProof/>
          <w:lang w:val="sq-AL"/>
        </w:rPr>
      </w:pPr>
    </w:p>
    <w:p w:rsidR="00221487" w:rsidRPr="00221487" w:rsidRDefault="00221487" w:rsidP="00221487">
      <w:pPr>
        <w:spacing w:after="0" w:line="240" w:lineRule="auto"/>
        <w:jc w:val="both"/>
        <w:rPr>
          <w:rFonts w:ascii="Times New Roman" w:eastAsia="Times New Roman" w:hAnsi="Times New Roman" w:cs="Times New Roman"/>
          <w:i/>
          <w:noProof/>
          <w:lang w:val="sq-AL"/>
        </w:rPr>
      </w:pPr>
    </w:p>
    <w:p w:rsidR="00221487" w:rsidRPr="00221487" w:rsidRDefault="00221487" w:rsidP="00221487">
      <w:pPr>
        <w:spacing w:after="0" w:line="240" w:lineRule="auto"/>
        <w:jc w:val="both"/>
        <w:rPr>
          <w:rFonts w:ascii="Times New Roman" w:eastAsia="Times New Roman" w:hAnsi="Times New Roman" w:cs="Times New Roman"/>
          <w:i/>
          <w:noProof/>
          <w:lang w:val="sq-AL"/>
        </w:rPr>
      </w:pPr>
    </w:p>
    <w:p w:rsidR="00221487" w:rsidRPr="00221487" w:rsidRDefault="00221487" w:rsidP="00221487">
      <w:pPr>
        <w:spacing w:after="0" w:line="240" w:lineRule="auto"/>
        <w:rPr>
          <w:rFonts w:ascii="Times New Roman" w:eastAsia="Times New Roman" w:hAnsi="Times New Roman" w:cs="Times New Roman"/>
          <w:noProof/>
          <w:lang w:val="sq-AL"/>
        </w:rPr>
      </w:pPr>
    </w:p>
    <w:p w:rsidR="00221487" w:rsidRPr="00221487" w:rsidRDefault="00221487" w:rsidP="00221487">
      <w:pPr>
        <w:spacing w:after="0" w:line="240" w:lineRule="auto"/>
        <w:rPr>
          <w:rFonts w:ascii="Times New Roman" w:eastAsia="Times New Roman" w:hAnsi="Times New Roman" w:cs="Times New Roman"/>
          <w:noProof/>
          <w:lang w:val="sq-AL"/>
        </w:rPr>
      </w:pPr>
    </w:p>
    <w:p w:rsidR="00221487" w:rsidRPr="00221487" w:rsidRDefault="00221487" w:rsidP="00221487">
      <w:pPr>
        <w:spacing w:after="0" w:line="240" w:lineRule="auto"/>
        <w:rPr>
          <w:rFonts w:ascii="Times New Roman" w:eastAsia="Times New Roman" w:hAnsi="Times New Roman" w:cs="Times New Roman"/>
          <w:noProof/>
          <w:lang w:val="sq-AL"/>
        </w:rPr>
      </w:pPr>
    </w:p>
    <w:p w:rsidR="00221487" w:rsidRPr="00221487" w:rsidRDefault="00221487" w:rsidP="00221487">
      <w:pPr>
        <w:spacing w:after="0" w:line="240" w:lineRule="auto"/>
        <w:rPr>
          <w:rFonts w:ascii="Times New Roman" w:eastAsia="Times New Roman" w:hAnsi="Times New Roman" w:cs="Times New Roman"/>
          <w:noProof/>
          <w:lang w:val="sq-AL"/>
        </w:rPr>
      </w:pPr>
    </w:p>
    <w:p w:rsidR="00221487" w:rsidRPr="00221487" w:rsidRDefault="00221487" w:rsidP="00221487">
      <w:pPr>
        <w:spacing w:after="0" w:line="240" w:lineRule="auto"/>
        <w:rPr>
          <w:rFonts w:ascii="Times New Roman" w:eastAsia="Times New Roman" w:hAnsi="Times New Roman" w:cs="Times New Roman"/>
          <w:noProof/>
          <w:lang w:val="sq-AL"/>
        </w:rPr>
      </w:pPr>
    </w:p>
    <w:p w:rsidR="00221487" w:rsidRPr="00221487" w:rsidRDefault="00221487" w:rsidP="00221487">
      <w:pPr>
        <w:spacing w:after="0" w:line="240" w:lineRule="auto"/>
        <w:ind w:left="1"/>
        <w:rPr>
          <w:rFonts w:ascii="Times New Roman" w:eastAsia="Times New Roman" w:hAnsi="Times New Roman" w:cs="Times New Roman"/>
          <w:noProof/>
          <w:lang w:val="sq-AL"/>
        </w:rPr>
      </w:pPr>
    </w:p>
    <w:p w:rsidR="00221487" w:rsidRPr="00221487" w:rsidRDefault="00221487" w:rsidP="00221487">
      <w:pPr>
        <w:spacing w:after="0" w:line="240" w:lineRule="auto"/>
        <w:ind w:left="1144"/>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3.6.2.</w:t>
      </w:r>
      <w:r w:rsidRPr="00221487">
        <w:rPr>
          <w:rFonts w:ascii="Arial" w:eastAsia="Arial" w:hAnsi="Arial" w:cs="Arial"/>
          <w:noProof/>
          <w:lang w:val="sq-AL"/>
        </w:rPr>
        <w:t xml:space="preserve"> </w:t>
      </w:r>
      <w:r w:rsidRPr="00221487">
        <w:rPr>
          <w:rFonts w:ascii="Arial" w:eastAsia="Arial" w:hAnsi="Arial" w:cs="Arial"/>
          <w:noProof/>
          <w:lang w:val="sq-AL"/>
        </w:rPr>
        <w:tab/>
      </w:r>
      <w:r w:rsidRPr="00221487">
        <w:rPr>
          <w:rFonts w:ascii="Times New Roman" w:eastAsia="Times New Roman" w:hAnsi="Times New Roman" w:cs="Times New Roman"/>
          <w:noProof/>
          <w:lang w:val="sq-AL"/>
        </w:rPr>
        <w:t>Auditimi i jashtëm</w:t>
      </w:r>
    </w:p>
    <w:p w:rsidR="00221487" w:rsidRPr="00221487" w:rsidRDefault="00221487" w:rsidP="00221487">
      <w:pPr>
        <w:spacing w:after="11"/>
        <w:ind w:left="1"/>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 </w:t>
      </w:r>
    </w:p>
    <w:tbl>
      <w:tblPr>
        <w:tblStyle w:val="TableGrid0"/>
        <w:tblW w:w="9745" w:type="dxa"/>
        <w:tblInd w:w="14" w:type="dxa"/>
        <w:tblCellMar>
          <w:right w:w="115" w:type="dxa"/>
        </w:tblCellMar>
        <w:tblLook w:val="04A0" w:firstRow="1" w:lastRow="0" w:firstColumn="1" w:lastColumn="0" w:noHBand="0" w:noVBand="1"/>
      </w:tblPr>
      <w:tblGrid>
        <w:gridCol w:w="9554"/>
        <w:gridCol w:w="121"/>
        <w:gridCol w:w="121"/>
      </w:tblGrid>
      <w:tr w:rsidR="00221487" w:rsidRPr="00221487" w:rsidTr="004342D7">
        <w:trPr>
          <w:trHeight w:val="287"/>
        </w:trPr>
        <w:tc>
          <w:tcPr>
            <w:tcW w:w="9489" w:type="dxa"/>
            <w:tcBorders>
              <w:top w:val="nil"/>
              <w:left w:val="nil"/>
              <w:bottom w:val="nil"/>
              <w:right w:val="nil"/>
            </w:tcBorders>
          </w:tcPr>
          <w:tbl>
            <w:tblPr>
              <w:tblStyle w:val="TableGrid0"/>
              <w:tblW w:w="9581" w:type="dxa"/>
              <w:tblInd w:w="0" w:type="dxa"/>
              <w:tblCellMar>
                <w:left w:w="104" w:type="dxa"/>
                <w:right w:w="53" w:type="dxa"/>
              </w:tblCellMar>
              <w:tblLook w:val="04A0" w:firstRow="1" w:lastRow="0" w:firstColumn="1" w:lastColumn="0" w:noHBand="0" w:noVBand="1"/>
            </w:tblPr>
            <w:tblGrid>
              <w:gridCol w:w="22"/>
              <w:gridCol w:w="3491"/>
              <w:gridCol w:w="2181"/>
              <w:gridCol w:w="1951"/>
              <w:gridCol w:w="1936"/>
            </w:tblGrid>
            <w:tr w:rsidR="00221487" w:rsidRPr="00221487" w:rsidTr="004342D7">
              <w:trPr>
                <w:trHeight w:val="1693"/>
              </w:trPr>
              <w:tc>
                <w:tcPr>
                  <w:tcW w:w="9581" w:type="dxa"/>
                  <w:gridSpan w:val="5"/>
                  <w:tcBorders>
                    <w:top w:val="single" w:sz="4" w:space="0" w:color="000000"/>
                    <w:left w:val="single" w:sz="4" w:space="0" w:color="000000"/>
                    <w:bottom w:val="single" w:sz="4" w:space="0" w:color="000000"/>
                    <w:right w:val="single" w:sz="4" w:space="0" w:color="000000"/>
                  </w:tcBorders>
                  <w:shd w:val="clear" w:color="auto" w:fill="D9D9D9"/>
                </w:tcPr>
                <w:p w:rsidR="00221487" w:rsidRPr="00221487" w:rsidRDefault="00221487" w:rsidP="00221487">
                  <w:pPr>
                    <w:rPr>
                      <w:noProof/>
                      <w:lang w:val="sq-AL"/>
                    </w:rPr>
                  </w:pPr>
                  <w:r w:rsidRPr="00221487">
                    <w:rPr>
                      <w:i/>
                      <w:noProof/>
                      <w:lang w:val="sq-AL"/>
                    </w:rPr>
                    <w:t xml:space="preserve">Objektivi  </w:t>
                  </w:r>
                </w:p>
                <w:p w:rsidR="00221487" w:rsidRPr="00221487" w:rsidRDefault="00221487" w:rsidP="00221487">
                  <w:pPr>
                    <w:rPr>
                      <w:noProof/>
                      <w:lang w:val="sq-AL"/>
                    </w:rPr>
                  </w:pPr>
                  <w:r w:rsidRPr="00221487">
                    <w:rPr>
                      <w:noProof/>
                      <w:lang w:val="sq-AL"/>
                    </w:rPr>
                    <w:t xml:space="preserve">Forcimi i funksionit të mbikëqyrjes së jashtme duke e sjellë atë në përputhje me standardet e INTOSAI. </w:t>
                  </w:r>
                </w:p>
                <w:p w:rsidR="00221487" w:rsidRPr="00221487" w:rsidRDefault="00221487" w:rsidP="00221487">
                  <w:pPr>
                    <w:rPr>
                      <w:noProof/>
                      <w:lang w:val="sq-AL"/>
                    </w:rPr>
                  </w:pPr>
                  <w:r w:rsidRPr="00221487">
                    <w:rPr>
                      <w:i/>
                      <w:noProof/>
                      <w:lang w:val="sq-AL"/>
                    </w:rPr>
                    <w:t xml:space="preserve">Treguesi i rezultatit 1 </w:t>
                  </w:r>
                </w:p>
                <w:p w:rsidR="00221487" w:rsidRPr="00221487" w:rsidRDefault="00221487" w:rsidP="00221487">
                  <w:pPr>
                    <w:spacing w:line="232" w:lineRule="auto"/>
                    <w:ind w:right="9"/>
                    <w:jc w:val="both"/>
                    <w:rPr>
                      <w:noProof/>
                      <w:lang w:val="sq-AL"/>
                    </w:rPr>
                  </w:pPr>
                  <w:r w:rsidRPr="00221487">
                    <w:rPr>
                      <w:noProof/>
                      <w:lang w:val="sq-AL"/>
                    </w:rPr>
                    <w:t xml:space="preserve">Pesha e auditimeve financiare dhe të performancës të ndërmarrë nga KLSH-ja rritet krahasuar me auditimet e përputhshmërisë.  </w:t>
                  </w:r>
                </w:p>
                <w:p w:rsidR="00221487" w:rsidRPr="00221487" w:rsidRDefault="00221487" w:rsidP="00221487">
                  <w:pPr>
                    <w:spacing w:line="232" w:lineRule="auto"/>
                    <w:ind w:right="9"/>
                    <w:jc w:val="both"/>
                    <w:rPr>
                      <w:noProof/>
                      <w:lang w:val="sq-AL"/>
                    </w:rPr>
                  </w:pPr>
                  <w:r w:rsidRPr="00221487">
                    <w:rPr>
                      <w:i/>
                      <w:noProof/>
                      <w:lang w:val="sq-AL"/>
                    </w:rPr>
                    <w:t xml:space="preserve">Vlera e treguesit </w:t>
                  </w:r>
                </w:p>
                <w:p w:rsidR="00221487" w:rsidRPr="00221487" w:rsidRDefault="00221487" w:rsidP="00221487">
                  <w:pPr>
                    <w:spacing w:line="232" w:lineRule="auto"/>
                    <w:jc w:val="both"/>
                    <w:rPr>
                      <w:noProof/>
                      <w:lang w:val="sq-AL"/>
                    </w:rPr>
                  </w:pPr>
                  <w:r w:rsidRPr="00221487">
                    <w:rPr>
                      <w:rFonts w:eastAsia="Times"/>
                      <w:noProof/>
                      <w:lang w:val="af-ZA"/>
                    </w:rPr>
                    <w:t xml:space="preserve">Treguesi për vitin 2018 </w:t>
                  </w:r>
                  <w:r w:rsidRPr="00221487">
                    <w:rPr>
                      <w:rFonts w:eastAsia="Times"/>
                      <w:b/>
                      <w:noProof/>
                      <w:lang w:val="af-ZA"/>
                    </w:rPr>
                    <w:t>u përmbush</w:t>
                  </w:r>
                  <w:r w:rsidRPr="00221487">
                    <w:rPr>
                      <w:rFonts w:eastAsia="Times"/>
                      <w:noProof/>
                      <w:lang w:val="af-ZA"/>
                    </w:rPr>
                    <w:t>, pasi pati përmirësim krahasuar me vitin 2017</w:t>
                  </w:r>
                  <w:r w:rsidRPr="00221487">
                    <w:rPr>
                      <w:noProof/>
                      <w:lang w:val="sq-AL"/>
                    </w:rPr>
                    <w:t>, teksa pesha e auditimit të përputhshmërisë u ul në 56%, ndërkohë që auditimet financiare dhe të performancës u rritën përkatësisht në 11 dhe 17 përqind gjatë vitit 2018.</w:t>
                  </w:r>
                  <w:r w:rsidRPr="00221487">
                    <w:rPr>
                      <w:b/>
                      <w:noProof/>
                      <w:color w:val="FF0000"/>
                      <w:lang w:val="sq-AL"/>
                    </w:rPr>
                    <w:t xml:space="preserve"> </w:t>
                  </w:r>
                </w:p>
                <w:p w:rsidR="00221487" w:rsidRPr="00221487" w:rsidRDefault="00221487" w:rsidP="00221487">
                  <w:pPr>
                    <w:rPr>
                      <w:noProof/>
                      <w:lang w:val="sq-AL"/>
                    </w:rPr>
                  </w:pPr>
                  <w:r w:rsidRPr="00221487">
                    <w:rPr>
                      <w:noProof/>
                      <w:lang w:val="sq-AL"/>
                    </w:rPr>
                    <w:t xml:space="preserve"> </w:t>
                  </w:r>
                </w:p>
                <w:tbl>
                  <w:tblPr>
                    <w:tblStyle w:val="TableGrid0"/>
                    <w:tblW w:w="0" w:type="auto"/>
                    <w:tblInd w:w="8" w:type="dxa"/>
                    <w:tblLook w:val="04A0" w:firstRow="1" w:lastRow="0" w:firstColumn="1" w:lastColumn="0" w:noHBand="0" w:noVBand="1"/>
                  </w:tblPr>
                  <w:tblGrid>
                    <w:gridCol w:w="3136"/>
                    <w:gridCol w:w="3136"/>
                    <w:gridCol w:w="3137"/>
                  </w:tblGrid>
                  <w:tr w:rsidR="00221487" w:rsidRPr="005B32A4" w:rsidTr="004342D7">
                    <w:trPr>
                      <w:trHeight w:val="359"/>
                    </w:trPr>
                    <w:tc>
                      <w:tcPr>
                        <w:tcW w:w="3136" w:type="dxa"/>
                      </w:tcPr>
                      <w:p w:rsidR="00221487" w:rsidRPr="00221487" w:rsidRDefault="00221487" w:rsidP="00221487">
                        <w:pPr>
                          <w:spacing w:after="166"/>
                          <w:rPr>
                            <w:noProof/>
                            <w:lang w:val="sq-AL"/>
                          </w:rPr>
                        </w:pPr>
                        <w:r w:rsidRPr="00221487">
                          <w:rPr>
                            <w:noProof/>
                            <w:lang w:val="sq-AL"/>
                          </w:rPr>
                          <w:t>Vlera bazë (2014)</w:t>
                        </w:r>
                      </w:p>
                    </w:tc>
                    <w:tc>
                      <w:tcPr>
                        <w:tcW w:w="3136" w:type="dxa"/>
                      </w:tcPr>
                      <w:p w:rsidR="00221487" w:rsidRPr="00221487" w:rsidRDefault="00221487" w:rsidP="00221487">
                        <w:pPr>
                          <w:spacing w:after="166"/>
                          <w:rPr>
                            <w:noProof/>
                            <w:lang w:val="sq-AL"/>
                          </w:rPr>
                        </w:pPr>
                        <w:r w:rsidRPr="00221487">
                          <w:rPr>
                            <w:noProof/>
                            <w:lang w:val="sq-AL"/>
                          </w:rPr>
                          <w:t>2018</w:t>
                        </w:r>
                      </w:p>
                    </w:tc>
                    <w:tc>
                      <w:tcPr>
                        <w:tcW w:w="3137" w:type="dxa"/>
                      </w:tcPr>
                      <w:p w:rsidR="00221487" w:rsidRPr="00221487" w:rsidRDefault="00221487" w:rsidP="00221487">
                        <w:pPr>
                          <w:spacing w:after="166"/>
                          <w:rPr>
                            <w:noProof/>
                            <w:lang w:val="sq-AL"/>
                          </w:rPr>
                        </w:pPr>
                        <w:r w:rsidRPr="00221487">
                          <w:rPr>
                            <w:noProof/>
                            <w:lang w:val="sq-AL"/>
                          </w:rPr>
                          <w:t>Synimi 2020</w:t>
                        </w:r>
                      </w:p>
                    </w:tc>
                  </w:tr>
                  <w:tr w:rsidR="00221487" w:rsidRPr="005B32A4" w:rsidTr="004342D7">
                    <w:trPr>
                      <w:trHeight w:val="359"/>
                    </w:trPr>
                    <w:tc>
                      <w:tcPr>
                        <w:tcW w:w="3136" w:type="dxa"/>
                      </w:tcPr>
                      <w:p w:rsidR="00221487" w:rsidRPr="00221487" w:rsidRDefault="00221487" w:rsidP="00221487">
                        <w:pPr>
                          <w:spacing w:after="166"/>
                          <w:rPr>
                            <w:noProof/>
                            <w:lang w:val="sq-AL"/>
                          </w:rPr>
                        </w:pPr>
                        <w:r w:rsidRPr="00221487">
                          <w:rPr>
                            <w:noProof/>
                            <w:lang w:val="sq-AL"/>
                          </w:rPr>
                          <w:t>Auditimi i përputhshmërisë 82%</w:t>
                        </w:r>
                      </w:p>
                    </w:tc>
                    <w:tc>
                      <w:tcPr>
                        <w:tcW w:w="3136" w:type="dxa"/>
                      </w:tcPr>
                      <w:p w:rsidR="00221487" w:rsidRPr="00221487" w:rsidRDefault="00221487" w:rsidP="00221487">
                        <w:pPr>
                          <w:spacing w:after="166"/>
                          <w:rPr>
                            <w:noProof/>
                            <w:lang w:val="sq-AL"/>
                          </w:rPr>
                        </w:pPr>
                        <w:r w:rsidRPr="00221487">
                          <w:rPr>
                            <w:noProof/>
                            <w:lang w:val="sq-AL"/>
                          </w:rPr>
                          <w:t>Auditimi i përputhshmërisë 56%</w:t>
                        </w:r>
                      </w:p>
                    </w:tc>
                    <w:tc>
                      <w:tcPr>
                        <w:tcW w:w="3137" w:type="dxa"/>
                      </w:tcPr>
                      <w:p w:rsidR="00221487" w:rsidRPr="00221487" w:rsidRDefault="00221487" w:rsidP="00221487">
                        <w:pPr>
                          <w:spacing w:after="166"/>
                          <w:rPr>
                            <w:noProof/>
                            <w:lang w:val="sq-AL"/>
                          </w:rPr>
                        </w:pPr>
                        <w:r w:rsidRPr="00221487">
                          <w:rPr>
                            <w:noProof/>
                            <w:lang w:val="sq-AL"/>
                          </w:rPr>
                          <w:t>Tendencë në rënie</w:t>
                        </w:r>
                      </w:p>
                    </w:tc>
                  </w:tr>
                  <w:tr w:rsidR="00221487" w:rsidRPr="005B32A4" w:rsidTr="004342D7">
                    <w:trPr>
                      <w:trHeight w:val="359"/>
                    </w:trPr>
                    <w:tc>
                      <w:tcPr>
                        <w:tcW w:w="3136" w:type="dxa"/>
                      </w:tcPr>
                      <w:p w:rsidR="00221487" w:rsidRPr="00221487" w:rsidRDefault="00221487" w:rsidP="00221487">
                        <w:pPr>
                          <w:spacing w:after="166"/>
                          <w:rPr>
                            <w:noProof/>
                            <w:lang w:val="sq-AL"/>
                          </w:rPr>
                        </w:pPr>
                      </w:p>
                    </w:tc>
                    <w:tc>
                      <w:tcPr>
                        <w:tcW w:w="3136" w:type="dxa"/>
                      </w:tcPr>
                      <w:p w:rsidR="00221487" w:rsidRPr="00221487" w:rsidRDefault="00221487" w:rsidP="00221487">
                        <w:pPr>
                          <w:spacing w:after="166"/>
                          <w:rPr>
                            <w:noProof/>
                            <w:lang w:val="sq-AL"/>
                          </w:rPr>
                        </w:pPr>
                        <w:r w:rsidRPr="00221487">
                          <w:rPr>
                            <w:noProof/>
                            <w:lang w:val="sq-AL"/>
                          </w:rPr>
                          <w:t>Auditimi financiar 11%</w:t>
                        </w:r>
                      </w:p>
                    </w:tc>
                    <w:tc>
                      <w:tcPr>
                        <w:tcW w:w="3137" w:type="dxa"/>
                      </w:tcPr>
                      <w:p w:rsidR="00221487" w:rsidRPr="00221487" w:rsidRDefault="00221487" w:rsidP="00221487">
                        <w:pPr>
                          <w:spacing w:after="166"/>
                          <w:rPr>
                            <w:noProof/>
                            <w:lang w:val="sq-AL"/>
                          </w:rPr>
                        </w:pPr>
                        <w:r w:rsidRPr="00221487">
                          <w:rPr>
                            <w:noProof/>
                            <w:lang w:val="sq-AL"/>
                          </w:rPr>
                          <w:t>Tendencë në rritje</w:t>
                        </w:r>
                      </w:p>
                    </w:tc>
                  </w:tr>
                  <w:tr w:rsidR="00221487" w:rsidRPr="005B32A4" w:rsidTr="004342D7">
                    <w:trPr>
                      <w:trHeight w:val="68"/>
                    </w:trPr>
                    <w:tc>
                      <w:tcPr>
                        <w:tcW w:w="3136" w:type="dxa"/>
                      </w:tcPr>
                      <w:p w:rsidR="00221487" w:rsidRPr="00221487" w:rsidRDefault="00221487" w:rsidP="00221487">
                        <w:pPr>
                          <w:spacing w:after="166"/>
                          <w:rPr>
                            <w:noProof/>
                            <w:lang w:val="sq-AL"/>
                          </w:rPr>
                        </w:pPr>
                      </w:p>
                    </w:tc>
                    <w:tc>
                      <w:tcPr>
                        <w:tcW w:w="3136" w:type="dxa"/>
                      </w:tcPr>
                      <w:p w:rsidR="00221487" w:rsidRPr="00221487" w:rsidRDefault="00221487" w:rsidP="00221487">
                        <w:pPr>
                          <w:spacing w:after="166"/>
                          <w:rPr>
                            <w:noProof/>
                            <w:lang w:val="sq-AL"/>
                          </w:rPr>
                        </w:pPr>
                        <w:r w:rsidRPr="00221487">
                          <w:rPr>
                            <w:noProof/>
                            <w:lang w:val="sq-AL"/>
                          </w:rPr>
                          <w:t>Auditimi i performancës 17 %</w:t>
                        </w:r>
                      </w:p>
                    </w:tc>
                    <w:tc>
                      <w:tcPr>
                        <w:tcW w:w="3137" w:type="dxa"/>
                      </w:tcPr>
                      <w:p w:rsidR="00221487" w:rsidRPr="00221487" w:rsidRDefault="00221487" w:rsidP="00221487">
                        <w:pPr>
                          <w:spacing w:after="166"/>
                          <w:rPr>
                            <w:noProof/>
                            <w:lang w:val="sq-AL"/>
                          </w:rPr>
                        </w:pPr>
                        <w:r w:rsidRPr="00221487">
                          <w:rPr>
                            <w:noProof/>
                            <w:lang w:val="sq-AL"/>
                          </w:rPr>
                          <w:t>Tendencë në rritje</w:t>
                        </w:r>
                      </w:p>
                    </w:tc>
                  </w:tr>
                </w:tbl>
                <w:p w:rsidR="00221487" w:rsidRPr="00221487" w:rsidRDefault="00221487" w:rsidP="00221487">
                  <w:pPr>
                    <w:spacing w:after="166"/>
                    <w:rPr>
                      <w:noProof/>
                      <w:lang w:val="sq-AL"/>
                    </w:rPr>
                  </w:pPr>
                  <w:r w:rsidRPr="00221487">
                    <w:rPr>
                      <w:i/>
                      <w:noProof/>
                      <w:lang w:val="sq-AL"/>
                    </w:rPr>
                    <w:t xml:space="preserve">Treguesi i rezultatit 2 </w:t>
                  </w:r>
                </w:p>
                <w:p w:rsidR="00221487" w:rsidRPr="00221487" w:rsidRDefault="00221487" w:rsidP="00221487">
                  <w:pPr>
                    <w:rPr>
                      <w:noProof/>
                      <w:lang w:val="sq-AL"/>
                    </w:rPr>
                  </w:pPr>
                  <w:r w:rsidRPr="00221487">
                    <w:rPr>
                      <w:noProof/>
                      <w:lang w:val="sq-AL"/>
                    </w:rPr>
                    <w:t xml:space="preserve">% e rekomandimeve të auditimit të pranuara dhe zbatuara nga palët e audituara është më i madh se 75.5% </w:t>
                  </w:r>
                </w:p>
                <w:p w:rsidR="00221487" w:rsidRPr="00221487" w:rsidRDefault="00221487" w:rsidP="00221487">
                  <w:pPr>
                    <w:spacing w:line="232" w:lineRule="auto"/>
                    <w:ind w:right="9"/>
                    <w:jc w:val="both"/>
                    <w:rPr>
                      <w:noProof/>
                      <w:lang w:val="sq-AL"/>
                    </w:rPr>
                  </w:pPr>
                  <w:r w:rsidRPr="00221487">
                    <w:rPr>
                      <w:i/>
                      <w:noProof/>
                      <w:lang w:val="sq-AL"/>
                    </w:rPr>
                    <w:t xml:space="preserve">Vlera e treguesit </w:t>
                  </w:r>
                </w:p>
                <w:p w:rsidR="00221487" w:rsidRPr="00221487" w:rsidRDefault="00221487" w:rsidP="00221487">
                  <w:pPr>
                    <w:jc w:val="both"/>
                    <w:rPr>
                      <w:noProof/>
                      <w:lang w:val="sq-AL"/>
                    </w:rPr>
                  </w:pPr>
                  <w:r w:rsidRPr="00221487">
                    <w:rPr>
                      <w:i/>
                      <w:noProof/>
                      <w:lang w:val="sq-AL"/>
                    </w:rPr>
                    <w:t>Rekomandimet e pranuara të auditimit ndaj atyre të lëshuara”</w:t>
                  </w:r>
                  <w:r w:rsidRPr="00221487">
                    <w:rPr>
                      <w:noProof/>
                      <w:lang w:val="sq-AL"/>
                    </w:rPr>
                    <w:t xml:space="preserve"> u </w:t>
                  </w:r>
                  <w:r w:rsidRPr="00221487">
                    <w:rPr>
                      <w:b/>
                      <w:noProof/>
                      <w:lang w:val="sq-AL"/>
                    </w:rPr>
                    <w:t xml:space="preserve">përmbush, </w:t>
                  </w:r>
                  <w:r w:rsidRPr="00221487">
                    <w:rPr>
                      <w:noProof/>
                      <w:lang w:val="sq-AL"/>
                    </w:rPr>
                    <w:t xml:space="preserve">pasi pati përmirësim krahasuar me vitin 2017 dhe treguesi mbi % e rekomandimeve të zbatuara ndaj atyre të lëshuara </w:t>
                  </w:r>
                  <w:r w:rsidRPr="00221487">
                    <w:rPr>
                      <w:b/>
                      <w:noProof/>
                      <w:lang w:val="sq-AL"/>
                    </w:rPr>
                    <w:t xml:space="preserve">u përmirësua </w:t>
                  </w:r>
                  <w:r w:rsidRPr="00221487">
                    <w:rPr>
                      <w:noProof/>
                      <w:lang w:val="sq-AL"/>
                    </w:rPr>
                    <w:t xml:space="preserve">për vitin 2018 krahasuar me vitin 2017. </w:t>
                  </w:r>
                </w:p>
                <w:p w:rsidR="00221487" w:rsidRPr="00221487" w:rsidRDefault="00221487" w:rsidP="00221487">
                  <w:pPr>
                    <w:jc w:val="both"/>
                    <w:rPr>
                      <w:noProof/>
                      <w:lang w:val="sq-AL"/>
                    </w:rPr>
                  </w:pPr>
                </w:p>
                <w:tbl>
                  <w:tblPr>
                    <w:tblStyle w:val="TableGrid0"/>
                    <w:tblW w:w="0" w:type="auto"/>
                    <w:tblInd w:w="8" w:type="dxa"/>
                    <w:tblLook w:val="04A0" w:firstRow="1" w:lastRow="0" w:firstColumn="1" w:lastColumn="0" w:noHBand="0" w:noVBand="1"/>
                  </w:tblPr>
                  <w:tblGrid>
                    <w:gridCol w:w="3136"/>
                    <w:gridCol w:w="3136"/>
                    <w:gridCol w:w="3137"/>
                  </w:tblGrid>
                  <w:tr w:rsidR="00221487" w:rsidRPr="005B32A4" w:rsidTr="004342D7">
                    <w:trPr>
                      <w:trHeight w:val="243"/>
                    </w:trPr>
                    <w:tc>
                      <w:tcPr>
                        <w:tcW w:w="3136" w:type="dxa"/>
                      </w:tcPr>
                      <w:p w:rsidR="00221487" w:rsidRPr="00221487" w:rsidRDefault="00221487" w:rsidP="00221487">
                        <w:pPr>
                          <w:jc w:val="both"/>
                          <w:rPr>
                            <w:noProof/>
                            <w:lang w:val="sq-AL"/>
                          </w:rPr>
                        </w:pPr>
                        <w:r w:rsidRPr="00221487">
                          <w:rPr>
                            <w:noProof/>
                            <w:lang w:val="sq-AL"/>
                          </w:rPr>
                          <w:lastRenderedPageBreak/>
                          <w:t>Vlera bazë</w:t>
                        </w:r>
                      </w:p>
                    </w:tc>
                    <w:tc>
                      <w:tcPr>
                        <w:tcW w:w="3136" w:type="dxa"/>
                      </w:tcPr>
                      <w:p w:rsidR="00221487" w:rsidRPr="00221487" w:rsidRDefault="00221487" w:rsidP="00221487">
                        <w:pPr>
                          <w:jc w:val="both"/>
                          <w:rPr>
                            <w:noProof/>
                            <w:lang w:val="sq-AL"/>
                          </w:rPr>
                        </w:pPr>
                        <w:r w:rsidRPr="00221487">
                          <w:rPr>
                            <w:noProof/>
                            <w:lang w:val="sq-AL"/>
                          </w:rPr>
                          <w:t>2018</w:t>
                        </w:r>
                      </w:p>
                    </w:tc>
                    <w:tc>
                      <w:tcPr>
                        <w:tcW w:w="3137" w:type="dxa"/>
                      </w:tcPr>
                      <w:p w:rsidR="00221487" w:rsidRPr="00221487" w:rsidRDefault="00221487" w:rsidP="00221487">
                        <w:pPr>
                          <w:jc w:val="both"/>
                          <w:rPr>
                            <w:noProof/>
                            <w:lang w:val="sq-AL"/>
                          </w:rPr>
                        </w:pPr>
                        <w:r w:rsidRPr="00221487">
                          <w:rPr>
                            <w:noProof/>
                            <w:lang w:val="sq-AL"/>
                          </w:rPr>
                          <w:t>Synimi 2020</w:t>
                        </w:r>
                      </w:p>
                    </w:tc>
                  </w:tr>
                  <w:tr w:rsidR="00221487" w:rsidRPr="005B32A4" w:rsidTr="004342D7">
                    <w:trPr>
                      <w:trHeight w:val="256"/>
                    </w:trPr>
                    <w:tc>
                      <w:tcPr>
                        <w:tcW w:w="3136" w:type="dxa"/>
                      </w:tcPr>
                      <w:p w:rsidR="00221487" w:rsidRPr="00221487" w:rsidRDefault="00221487" w:rsidP="00221487">
                        <w:pPr>
                          <w:jc w:val="both"/>
                          <w:rPr>
                            <w:noProof/>
                            <w:lang w:val="sq-AL"/>
                          </w:rPr>
                        </w:pPr>
                        <w:r w:rsidRPr="00221487">
                          <w:rPr>
                            <w:noProof/>
                            <w:lang w:val="sq-AL"/>
                          </w:rPr>
                          <w:t>R</w:t>
                        </w:r>
                        <w:r w:rsidRPr="00221487">
                          <w:rPr>
                            <w:noProof/>
                            <w:vertAlign w:val="subscript"/>
                            <w:lang w:val="sq-AL"/>
                          </w:rPr>
                          <w:t xml:space="preserve">ACC </w:t>
                        </w:r>
                        <w:r w:rsidRPr="00221487">
                          <w:rPr>
                            <w:noProof/>
                            <w:lang w:val="sq-AL"/>
                          </w:rPr>
                          <w:t>73.4% (2016)</w:t>
                        </w:r>
                      </w:p>
                    </w:tc>
                    <w:tc>
                      <w:tcPr>
                        <w:tcW w:w="3136" w:type="dxa"/>
                      </w:tcPr>
                      <w:p w:rsidR="00221487" w:rsidRPr="00221487" w:rsidRDefault="00221487" w:rsidP="00221487">
                        <w:pPr>
                          <w:jc w:val="both"/>
                          <w:rPr>
                            <w:noProof/>
                            <w:lang w:val="sq-AL"/>
                          </w:rPr>
                        </w:pPr>
                        <w:r w:rsidRPr="00221487">
                          <w:rPr>
                            <w:noProof/>
                            <w:lang w:val="sq-AL"/>
                          </w:rPr>
                          <w:t>R</w:t>
                        </w:r>
                        <w:r w:rsidRPr="00221487">
                          <w:rPr>
                            <w:noProof/>
                            <w:vertAlign w:val="subscript"/>
                            <w:lang w:val="sq-AL"/>
                          </w:rPr>
                          <w:t>ACC</w:t>
                        </w:r>
                        <w:r w:rsidRPr="00221487">
                          <w:rPr>
                            <w:noProof/>
                            <w:lang w:val="sq-AL"/>
                          </w:rPr>
                          <w:t xml:space="preserve"> 96 %</w:t>
                        </w:r>
                      </w:p>
                    </w:tc>
                    <w:tc>
                      <w:tcPr>
                        <w:tcW w:w="3137" w:type="dxa"/>
                      </w:tcPr>
                      <w:p w:rsidR="00221487" w:rsidRPr="00221487" w:rsidRDefault="00221487" w:rsidP="00221487">
                        <w:pPr>
                          <w:jc w:val="both"/>
                          <w:rPr>
                            <w:noProof/>
                            <w:lang w:val="sq-AL"/>
                          </w:rPr>
                        </w:pPr>
                        <w:r w:rsidRPr="00221487">
                          <w:rPr>
                            <w:noProof/>
                            <w:lang w:val="sq-AL"/>
                          </w:rPr>
                          <w:t>Tendencë në rritje</w:t>
                        </w:r>
                      </w:p>
                    </w:tc>
                  </w:tr>
                  <w:tr w:rsidR="00221487" w:rsidRPr="005B32A4" w:rsidTr="004342D7">
                    <w:trPr>
                      <w:trHeight w:val="243"/>
                    </w:trPr>
                    <w:tc>
                      <w:tcPr>
                        <w:tcW w:w="3136" w:type="dxa"/>
                      </w:tcPr>
                      <w:p w:rsidR="00221487" w:rsidRPr="00221487" w:rsidRDefault="00221487" w:rsidP="00221487">
                        <w:pPr>
                          <w:jc w:val="both"/>
                          <w:rPr>
                            <w:noProof/>
                            <w:lang w:val="sq-AL"/>
                          </w:rPr>
                        </w:pPr>
                        <w:r w:rsidRPr="00221487">
                          <w:rPr>
                            <w:noProof/>
                            <w:lang w:val="sq-AL"/>
                          </w:rPr>
                          <w:t>R</w:t>
                        </w:r>
                        <w:r w:rsidRPr="00221487">
                          <w:rPr>
                            <w:noProof/>
                            <w:vertAlign w:val="subscript"/>
                            <w:lang w:val="sq-AL"/>
                          </w:rPr>
                          <w:t>IMPL</w:t>
                        </w:r>
                        <w:r w:rsidRPr="00221487">
                          <w:rPr>
                            <w:noProof/>
                            <w:lang w:val="sq-AL"/>
                          </w:rPr>
                          <w:t>75% (2014)</w:t>
                        </w:r>
                      </w:p>
                    </w:tc>
                    <w:tc>
                      <w:tcPr>
                        <w:tcW w:w="3136" w:type="dxa"/>
                      </w:tcPr>
                      <w:p w:rsidR="00221487" w:rsidRPr="00221487" w:rsidRDefault="00221487" w:rsidP="00221487">
                        <w:pPr>
                          <w:jc w:val="both"/>
                          <w:rPr>
                            <w:noProof/>
                            <w:lang w:val="sq-AL"/>
                          </w:rPr>
                        </w:pPr>
                        <w:r w:rsidRPr="00221487">
                          <w:rPr>
                            <w:noProof/>
                            <w:lang w:val="sq-AL"/>
                          </w:rPr>
                          <w:t>R</w:t>
                        </w:r>
                        <w:r w:rsidRPr="00221487">
                          <w:rPr>
                            <w:noProof/>
                            <w:vertAlign w:val="subscript"/>
                            <w:lang w:val="sq-AL"/>
                          </w:rPr>
                          <w:t>IMPL</w:t>
                        </w:r>
                        <w:r w:rsidRPr="00221487">
                          <w:rPr>
                            <w:noProof/>
                            <w:lang w:val="sq-AL"/>
                          </w:rPr>
                          <w:t xml:space="preserve">60 % </w:t>
                        </w:r>
                        <w:r w:rsidRPr="00221487">
                          <w:rPr>
                            <w:b/>
                            <w:noProof/>
                            <w:lang w:val="sq-AL"/>
                          </w:rPr>
                          <w:t xml:space="preserve"> </w:t>
                        </w:r>
                      </w:p>
                    </w:tc>
                    <w:tc>
                      <w:tcPr>
                        <w:tcW w:w="3137" w:type="dxa"/>
                      </w:tcPr>
                      <w:p w:rsidR="00221487" w:rsidRPr="00221487" w:rsidRDefault="00221487" w:rsidP="00221487">
                        <w:pPr>
                          <w:jc w:val="both"/>
                          <w:rPr>
                            <w:noProof/>
                            <w:lang w:val="sq-AL"/>
                          </w:rPr>
                        </w:pPr>
                        <w:r w:rsidRPr="00221487">
                          <w:rPr>
                            <w:noProof/>
                            <w:lang w:val="sq-AL"/>
                          </w:rPr>
                          <w:t>Tendencë në rritje</w:t>
                        </w:r>
                      </w:p>
                    </w:tc>
                  </w:tr>
                </w:tbl>
                <w:p w:rsidR="00221487" w:rsidRPr="00221487" w:rsidRDefault="00221487" w:rsidP="00221487">
                  <w:pPr>
                    <w:jc w:val="both"/>
                    <w:rPr>
                      <w:noProof/>
                      <w:lang w:val="sq-AL"/>
                    </w:rPr>
                  </w:pPr>
                </w:p>
                <w:p w:rsidR="00221487" w:rsidRPr="00221487" w:rsidRDefault="00221487" w:rsidP="00221487">
                  <w:pPr>
                    <w:jc w:val="both"/>
                    <w:rPr>
                      <w:i/>
                      <w:noProof/>
                      <w:lang w:val="sq-AL"/>
                    </w:rPr>
                  </w:pPr>
                  <w:r w:rsidRPr="00221487">
                    <w:rPr>
                      <w:i/>
                      <w:noProof/>
                      <w:lang w:val="sq-AL"/>
                    </w:rPr>
                    <w:t xml:space="preserve">Treguesi i rezultatit 3 </w:t>
                  </w:r>
                </w:p>
                <w:p w:rsidR="00221487" w:rsidRPr="00221487" w:rsidRDefault="00221487" w:rsidP="00221487">
                  <w:pPr>
                    <w:jc w:val="both"/>
                    <w:rPr>
                      <w:noProof/>
                      <w:lang w:val="sq-AL"/>
                    </w:rPr>
                  </w:pPr>
                  <w:r w:rsidRPr="00221487">
                    <w:rPr>
                      <w:noProof/>
                      <w:lang w:val="sq-AL"/>
                    </w:rPr>
                    <w:t xml:space="preserve">Është hartuar strategjia e trajnimit, audituesit janë të trajnuar sipas ISSAI. </w:t>
                  </w:r>
                </w:p>
                <w:p w:rsidR="00221487" w:rsidRPr="00221487" w:rsidRDefault="00221487" w:rsidP="00221487">
                  <w:pPr>
                    <w:spacing w:line="232" w:lineRule="auto"/>
                    <w:ind w:right="9"/>
                    <w:jc w:val="both"/>
                    <w:rPr>
                      <w:noProof/>
                      <w:lang w:val="sq-AL"/>
                    </w:rPr>
                  </w:pPr>
                  <w:r w:rsidRPr="00221487">
                    <w:rPr>
                      <w:i/>
                      <w:noProof/>
                      <w:lang w:val="sq-AL"/>
                    </w:rPr>
                    <w:t xml:space="preserve">Vlera e treguesit  </w:t>
                  </w:r>
                </w:p>
                <w:p w:rsidR="00221487" w:rsidRPr="00221487" w:rsidRDefault="00221487" w:rsidP="00221487">
                  <w:pPr>
                    <w:jc w:val="both"/>
                    <w:rPr>
                      <w:noProof/>
                      <w:lang w:val="sq-AL"/>
                    </w:rPr>
                  </w:pPr>
                  <w:r w:rsidRPr="00221487">
                    <w:rPr>
                      <w:noProof/>
                      <w:lang w:val="sq-AL"/>
                    </w:rPr>
                    <w:t xml:space="preserve">Treguesi për vitin 2018 </w:t>
                  </w:r>
                  <w:r w:rsidRPr="00221487">
                    <w:rPr>
                      <w:b/>
                      <w:noProof/>
                      <w:lang w:val="sq-AL"/>
                    </w:rPr>
                    <w:t xml:space="preserve">u përmbush, </w:t>
                  </w:r>
                  <w:r w:rsidRPr="00221487">
                    <w:rPr>
                      <w:noProof/>
                      <w:lang w:val="sq-AL"/>
                    </w:rPr>
                    <w:t xml:space="preserve">pasi pati përmirësim krahasuar me vitin 2017. Ai mat shkallën e trajnimit të audituesëve të KLSH-së mbi standartet ISSAI dhe çështjet ligjore. Treguesi matet si vijon: ditët mesatare të trajnimit për një auditues në një vit përkundrejt 25 ditëve të trajnimit të planifikuara për t’u shpërndarë në një vit.  </w:t>
                  </w:r>
                </w:p>
                <w:p w:rsidR="00221487" w:rsidRPr="00221487" w:rsidRDefault="00221487" w:rsidP="00221487">
                  <w:pPr>
                    <w:jc w:val="both"/>
                    <w:rPr>
                      <w:noProof/>
                      <w:lang w:val="sq-AL"/>
                    </w:rPr>
                  </w:pPr>
                  <w:r w:rsidRPr="00221487">
                    <w:rPr>
                      <w:noProof/>
                      <w:lang w:val="sq-AL"/>
                    </w:rPr>
                    <w:t xml:space="preserve">  </w:t>
                  </w:r>
                </w:p>
                <w:tbl>
                  <w:tblPr>
                    <w:tblStyle w:val="TableGrid0"/>
                    <w:tblW w:w="0" w:type="auto"/>
                    <w:tblInd w:w="3" w:type="dxa"/>
                    <w:tblLook w:val="04A0" w:firstRow="1" w:lastRow="0" w:firstColumn="1" w:lastColumn="0" w:noHBand="0" w:noVBand="1"/>
                  </w:tblPr>
                  <w:tblGrid>
                    <w:gridCol w:w="3136"/>
                    <w:gridCol w:w="3136"/>
                    <w:gridCol w:w="3137"/>
                  </w:tblGrid>
                  <w:tr w:rsidR="00221487" w:rsidRPr="00221487" w:rsidTr="004342D7">
                    <w:trPr>
                      <w:trHeight w:val="243"/>
                    </w:trPr>
                    <w:tc>
                      <w:tcPr>
                        <w:tcW w:w="3136" w:type="dxa"/>
                      </w:tcPr>
                      <w:p w:rsidR="00221487" w:rsidRPr="00221487" w:rsidRDefault="00221487" w:rsidP="00221487">
                        <w:pPr>
                          <w:jc w:val="both"/>
                          <w:rPr>
                            <w:noProof/>
                            <w:lang w:val="sq-AL"/>
                          </w:rPr>
                        </w:pPr>
                        <w:r w:rsidRPr="00221487">
                          <w:rPr>
                            <w:noProof/>
                            <w:lang w:val="sq-AL"/>
                          </w:rPr>
                          <w:t>Vlera bazë (2014)</w:t>
                        </w:r>
                      </w:p>
                    </w:tc>
                    <w:tc>
                      <w:tcPr>
                        <w:tcW w:w="3136" w:type="dxa"/>
                      </w:tcPr>
                      <w:p w:rsidR="00221487" w:rsidRPr="00221487" w:rsidRDefault="00221487" w:rsidP="00221487">
                        <w:pPr>
                          <w:jc w:val="both"/>
                          <w:rPr>
                            <w:noProof/>
                            <w:lang w:val="sq-AL"/>
                          </w:rPr>
                        </w:pPr>
                        <w:r w:rsidRPr="00221487">
                          <w:rPr>
                            <w:noProof/>
                            <w:lang w:val="sq-AL"/>
                          </w:rPr>
                          <w:t>2018</w:t>
                        </w:r>
                      </w:p>
                    </w:tc>
                    <w:tc>
                      <w:tcPr>
                        <w:tcW w:w="3137" w:type="dxa"/>
                      </w:tcPr>
                      <w:p w:rsidR="00221487" w:rsidRPr="00221487" w:rsidRDefault="00221487" w:rsidP="00221487">
                        <w:pPr>
                          <w:jc w:val="both"/>
                          <w:rPr>
                            <w:noProof/>
                            <w:lang w:val="sq-AL"/>
                          </w:rPr>
                        </w:pPr>
                        <w:r w:rsidRPr="00221487">
                          <w:rPr>
                            <w:noProof/>
                            <w:lang w:val="sq-AL"/>
                          </w:rPr>
                          <w:t>Synimi 2020</w:t>
                        </w:r>
                      </w:p>
                    </w:tc>
                  </w:tr>
                  <w:tr w:rsidR="00221487" w:rsidRPr="00221487" w:rsidTr="004342D7">
                    <w:trPr>
                      <w:trHeight w:val="256"/>
                    </w:trPr>
                    <w:tc>
                      <w:tcPr>
                        <w:tcW w:w="3136" w:type="dxa"/>
                      </w:tcPr>
                      <w:p w:rsidR="00221487" w:rsidRPr="00221487" w:rsidRDefault="00221487" w:rsidP="00221487">
                        <w:pPr>
                          <w:jc w:val="both"/>
                          <w:rPr>
                            <w:noProof/>
                            <w:lang w:val="sq-AL"/>
                          </w:rPr>
                        </w:pPr>
                        <w:r w:rsidRPr="00221487">
                          <w:rPr>
                            <w:noProof/>
                            <w:lang w:val="sq-AL"/>
                          </w:rPr>
                          <w:t>T</w:t>
                        </w:r>
                        <w:r w:rsidRPr="00221487">
                          <w:rPr>
                            <w:noProof/>
                            <w:vertAlign w:val="subscript"/>
                            <w:lang w:val="sq-AL"/>
                          </w:rPr>
                          <w:t>ISSAI</w:t>
                        </w:r>
                        <w:r w:rsidRPr="00221487">
                          <w:rPr>
                            <w:noProof/>
                            <w:lang w:val="sq-AL"/>
                          </w:rPr>
                          <w:t xml:space="preserve"> 100%  </w:t>
                        </w:r>
                      </w:p>
                    </w:tc>
                    <w:tc>
                      <w:tcPr>
                        <w:tcW w:w="3136" w:type="dxa"/>
                      </w:tcPr>
                      <w:p w:rsidR="00221487" w:rsidRPr="00221487" w:rsidRDefault="00221487" w:rsidP="00221487">
                        <w:pPr>
                          <w:rPr>
                            <w:noProof/>
                            <w:lang w:val="sq-AL"/>
                          </w:rPr>
                        </w:pPr>
                        <w:r w:rsidRPr="00221487">
                          <w:rPr>
                            <w:noProof/>
                            <w:lang w:val="sq-AL"/>
                          </w:rPr>
                          <w:t>T</w:t>
                        </w:r>
                        <w:r w:rsidRPr="00221487">
                          <w:rPr>
                            <w:noProof/>
                            <w:vertAlign w:val="subscript"/>
                            <w:lang w:val="sq-AL"/>
                          </w:rPr>
                          <w:t>ISSAI</w:t>
                        </w:r>
                        <w:r w:rsidRPr="00221487">
                          <w:rPr>
                            <w:noProof/>
                            <w:lang w:val="sq-AL"/>
                          </w:rPr>
                          <w:t xml:space="preserve"> 118%</w:t>
                        </w:r>
                      </w:p>
                    </w:tc>
                    <w:tc>
                      <w:tcPr>
                        <w:tcW w:w="3137" w:type="dxa"/>
                      </w:tcPr>
                      <w:p w:rsidR="00221487" w:rsidRPr="00221487" w:rsidRDefault="00221487" w:rsidP="00221487">
                        <w:pPr>
                          <w:jc w:val="both"/>
                          <w:rPr>
                            <w:noProof/>
                            <w:lang w:val="sq-AL"/>
                          </w:rPr>
                        </w:pPr>
                        <w:r w:rsidRPr="00221487">
                          <w:rPr>
                            <w:noProof/>
                            <w:lang w:val="sq-AL"/>
                          </w:rPr>
                          <w:t>Tendencë rritëse</w:t>
                        </w:r>
                      </w:p>
                    </w:tc>
                  </w:tr>
                </w:tbl>
                <w:p w:rsidR="00221487" w:rsidRPr="00221487" w:rsidRDefault="00221487" w:rsidP="00221487">
                  <w:pPr>
                    <w:jc w:val="both"/>
                    <w:rPr>
                      <w:noProof/>
                      <w:lang w:val="sq-AL"/>
                    </w:rPr>
                  </w:pPr>
                </w:p>
              </w:tc>
            </w:tr>
            <w:tr w:rsidR="00221487" w:rsidRPr="00221487" w:rsidTr="004342D7">
              <w:tblPrEx>
                <w:tblCellMar>
                  <w:left w:w="0" w:type="dxa"/>
                  <w:right w:w="115" w:type="dxa"/>
                </w:tblCellMar>
              </w:tblPrEx>
              <w:trPr>
                <w:gridBefore w:val="1"/>
                <w:gridAfter w:val="1"/>
                <w:wBefore w:w="22" w:type="dxa"/>
                <w:wAfter w:w="1936" w:type="dxa"/>
                <w:trHeight w:val="287"/>
              </w:trPr>
              <w:tc>
                <w:tcPr>
                  <w:tcW w:w="3491" w:type="dxa"/>
                  <w:tcBorders>
                    <w:top w:val="nil"/>
                    <w:left w:val="nil"/>
                    <w:bottom w:val="nil"/>
                    <w:right w:val="nil"/>
                  </w:tcBorders>
                </w:tcPr>
                <w:p w:rsidR="00221487" w:rsidRPr="00221487" w:rsidRDefault="00221487" w:rsidP="00221487">
                  <w:pPr>
                    <w:rPr>
                      <w:noProof/>
                      <w:lang w:val="sq-AL"/>
                    </w:rPr>
                  </w:pPr>
                  <w:r w:rsidRPr="00221487">
                    <w:rPr>
                      <w:noProof/>
                      <w:lang w:val="sq-AL"/>
                    </w:rPr>
                    <w:lastRenderedPageBreak/>
                    <w:t xml:space="preserve">  </w:t>
                  </w:r>
                </w:p>
              </w:tc>
              <w:tc>
                <w:tcPr>
                  <w:tcW w:w="2181" w:type="dxa"/>
                  <w:tcBorders>
                    <w:top w:val="nil"/>
                    <w:left w:val="nil"/>
                    <w:bottom w:val="nil"/>
                    <w:right w:val="nil"/>
                  </w:tcBorders>
                </w:tcPr>
                <w:p w:rsidR="00221487" w:rsidRPr="00221487" w:rsidRDefault="00221487" w:rsidP="00221487">
                  <w:pPr>
                    <w:rPr>
                      <w:noProof/>
                      <w:lang w:val="sq-AL"/>
                    </w:rPr>
                  </w:pPr>
                  <w:r w:rsidRPr="00221487">
                    <w:rPr>
                      <w:noProof/>
                      <w:lang w:val="sq-AL"/>
                    </w:rPr>
                    <w:t xml:space="preserve">  </w:t>
                  </w:r>
                </w:p>
              </w:tc>
              <w:tc>
                <w:tcPr>
                  <w:tcW w:w="1951" w:type="dxa"/>
                  <w:tcBorders>
                    <w:top w:val="nil"/>
                    <w:left w:val="nil"/>
                    <w:bottom w:val="nil"/>
                    <w:right w:val="nil"/>
                  </w:tcBorders>
                </w:tcPr>
                <w:p w:rsidR="00221487" w:rsidRPr="00221487" w:rsidRDefault="00221487" w:rsidP="00221487">
                  <w:pPr>
                    <w:rPr>
                      <w:noProof/>
                      <w:lang w:val="sq-AL"/>
                    </w:rPr>
                  </w:pPr>
                  <w:r w:rsidRPr="00221487">
                    <w:rPr>
                      <w:noProof/>
                      <w:lang w:val="sq-AL"/>
                    </w:rPr>
                    <w:t xml:space="preserve">     </w:t>
                  </w:r>
                </w:p>
              </w:tc>
            </w:tr>
          </w:tbl>
          <w:p w:rsidR="00221487" w:rsidRPr="00221487" w:rsidRDefault="00221487" w:rsidP="00221487">
            <w:pPr>
              <w:rPr>
                <w:noProof/>
                <w:lang w:val="sq-AL"/>
              </w:rPr>
            </w:pPr>
          </w:p>
        </w:tc>
        <w:tc>
          <w:tcPr>
            <w:tcW w:w="135" w:type="dxa"/>
            <w:tcBorders>
              <w:top w:val="nil"/>
              <w:left w:val="nil"/>
              <w:bottom w:val="nil"/>
              <w:right w:val="nil"/>
            </w:tcBorders>
          </w:tcPr>
          <w:p w:rsidR="00221487" w:rsidRPr="00221487" w:rsidRDefault="00221487" w:rsidP="00221487">
            <w:pPr>
              <w:rPr>
                <w:noProof/>
                <w:lang w:val="sq-AL"/>
              </w:rPr>
            </w:pPr>
            <w:r w:rsidRPr="00221487">
              <w:rPr>
                <w:noProof/>
                <w:lang w:val="sq-AL"/>
              </w:rPr>
              <w:lastRenderedPageBreak/>
              <w:t xml:space="preserve">  </w:t>
            </w:r>
          </w:p>
        </w:tc>
        <w:tc>
          <w:tcPr>
            <w:tcW w:w="121" w:type="dxa"/>
            <w:tcBorders>
              <w:top w:val="nil"/>
              <w:left w:val="nil"/>
              <w:bottom w:val="nil"/>
              <w:right w:val="nil"/>
            </w:tcBorders>
          </w:tcPr>
          <w:p w:rsidR="00221487" w:rsidRPr="00221487" w:rsidRDefault="00221487" w:rsidP="00221487">
            <w:pPr>
              <w:rPr>
                <w:noProof/>
                <w:lang w:val="sq-AL"/>
              </w:rPr>
            </w:pPr>
            <w:r w:rsidRPr="00221487">
              <w:rPr>
                <w:noProof/>
                <w:lang w:val="sq-AL"/>
              </w:rPr>
              <w:t xml:space="preserve">     </w:t>
            </w:r>
          </w:p>
        </w:tc>
      </w:tr>
    </w:tbl>
    <w:p w:rsidR="00221487" w:rsidRPr="00221487" w:rsidRDefault="00221487" w:rsidP="00221487">
      <w:pPr>
        <w:spacing w:after="9"/>
        <w:jc w:val="both"/>
        <w:rPr>
          <w:rFonts w:ascii="Times New Roman" w:eastAsia="Times New Roman" w:hAnsi="Times New Roman" w:cs="Times New Roman"/>
          <w:noProof/>
          <w:lang w:val="sq-AL"/>
        </w:rPr>
      </w:pPr>
      <w:r w:rsidRPr="00221487">
        <w:rPr>
          <w:rFonts w:ascii="Times New Roman" w:eastAsia="Times New Roman" w:hAnsi="Times New Roman" w:cs="Times New Roman"/>
          <w:b/>
          <w:noProof/>
          <w:lang w:val="sq-AL"/>
        </w:rPr>
        <w:lastRenderedPageBreak/>
        <w:t>Masa 1: Harmonizimi i procedurave të auditimit me standardet ndërkombëtare (ISSAI) (</w:t>
      </w:r>
      <w:r w:rsidRPr="00221487">
        <w:rPr>
          <w:rFonts w:ascii="Times New Roman" w:eastAsia="Times New Roman" w:hAnsi="Times New Roman" w:cs="Times New Roman"/>
          <w:b/>
          <w:i/>
          <w:noProof/>
          <w:lang w:val="sq-AL"/>
        </w:rPr>
        <w:t>i përmbushur</w:t>
      </w:r>
      <w:r w:rsidRPr="00221487">
        <w:rPr>
          <w:rFonts w:ascii="Times New Roman" w:eastAsia="Times New Roman" w:hAnsi="Times New Roman" w:cs="Times New Roman"/>
          <w:b/>
          <w:noProof/>
          <w:lang w:val="sq-AL"/>
        </w:rPr>
        <w:t xml:space="preserve">) </w:t>
      </w:r>
    </w:p>
    <w:p w:rsidR="00221487" w:rsidRPr="00221487" w:rsidRDefault="00221487" w:rsidP="00221487">
      <w:pPr>
        <w:spacing w:after="0"/>
        <w:jc w:val="center"/>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 </w:t>
      </w:r>
    </w:p>
    <w:p w:rsidR="00221487" w:rsidRPr="00221487" w:rsidRDefault="00221487" w:rsidP="00221487">
      <w:pPr>
        <w:spacing w:after="9"/>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Kuadri metodologjik i KLSH-së bazohet shumë në Standardet Ndërkombëtare të Institucioneve të Larta të Auditimit (ISSAI). KLSH-ja ka trajtuar zbatimin e ISSAI</w:t>
      </w:r>
      <w:r w:rsidRPr="00221487" w:rsidDel="00303F5F">
        <w:rPr>
          <w:rFonts w:ascii="Times New Roman" w:eastAsia="Times New Roman" w:hAnsi="Times New Roman" w:cs="Times New Roman"/>
          <w:noProof/>
          <w:lang w:val="sq-AL"/>
        </w:rPr>
        <w:t xml:space="preserve"> </w:t>
      </w:r>
      <w:r w:rsidRPr="00221487">
        <w:rPr>
          <w:rFonts w:ascii="Times New Roman" w:eastAsia="Times New Roman" w:hAnsi="Times New Roman" w:cs="Times New Roman"/>
          <w:noProof/>
          <w:lang w:val="sq-AL"/>
        </w:rPr>
        <w:t xml:space="preserve">në punën e auditimit si një nga objektivat strategjik më kryesore ndër vite dhe vazhdon të jetë në proces derisa të arrihet përputhja e plotë me të. </w:t>
      </w:r>
    </w:p>
    <w:p w:rsidR="00221487" w:rsidRPr="00221487" w:rsidRDefault="00221487" w:rsidP="00221487">
      <w:pPr>
        <w:spacing w:after="9"/>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Që prej vitit 2012, KLSH-ja ka krijuar një sistem të konsoliduar të formimit profesional bazuar në programin vjetor të trajnimit, duke përfshirë politikat e menaxhimit për zhvillimin profesional të audituesëve me qëllim arritjen e afërsisht 25 ditëve trajnim në vit për secilin auditues. Trajnimet për KLSH-në kanë qenë temat më të shpeshta të trajnimeve të organizuara gjatë programit të trajnimit të vazhdueshëm. KLSH-ja ka përfaqësuesit e saj në grupet e punës dhe Task Force të (EUROSAI) dhe (INTOSAI) për rishikimin e disa aspekteve të ISSAI-it.</w:t>
      </w:r>
    </w:p>
    <w:p w:rsidR="00221487" w:rsidRPr="00221487" w:rsidRDefault="00221487" w:rsidP="00221487">
      <w:pPr>
        <w:widowControl w:val="0"/>
        <w:spacing w:after="0"/>
        <w:jc w:val="both"/>
        <w:rPr>
          <w:rFonts w:ascii="Times New Roman" w:eastAsia="Times New Roman" w:hAnsi="Times New Roman" w:cs="Times New Roman"/>
          <w:noProof/>
          <w:lang w:val="sq-AL"/>
        </w:rPr>
      </w:pPr>
    </w:p>
    <w:p w:rsidR="00221487" w:rsidRPr="00221487" w:rsidRDefault="00221487" w:rsidP="00221487">
      <w:pPr>
        <w:widowControl w:val="0"/>
        <w:spacing w:after="0"/>
        <w:jc w:val="both"/>
        <w:rPr>
          <w:rFonts w:ascii="Times New Roman" w:eastAsia="Calibri" w:hAnsi="Times New Roman" w:cs="Times New Roman"/>
          <w:noProof/>
          <w:lang w:val="sq-AL"/>
        </w:rPr>
      </w:pPr>
      <w:r w:rsidRPr="00221487">
        <w:rPr>
          <w:rFonts w:ascii="Times New Roman" w:eastAsia="Times New Roman" w:hAnsi="Times New Roman" w:cs="Times New Roman"/>
          <w:noProof/>
          <w:lang w:val="sq-AL"/>
        </w:rPr>
        <w:t>Duke synuar cilësi të lartë dhe shumëllojshmëri të njohurive në procesin e trajnimit, KLSH-ja ka përdorur në mënyrë efektive burime të ndryshme trajnimi (ekspertë) bazuar në marrëveshje bashkëpunimi të ndërsjellë, brenda Shqipërisë dhe jashtë saj.</w:t>
      </w:r>
      <w:r w:rsidRPr="00221487">
        <w:rPr>
          <w:rFonts w:ascii="Times New Roman" w:eastAsia="Times New Roman" w:hAnsi="Times New Roman" w:cs="Times New Roman"/>
          <w:b/>
          <w:noProof/>
          <w:lang w:val="sq-AL"/>
        </w:rPr>
        <w:t xml:space="preserve"> Gjatë vitit 2018, të gjithë audituesët dhe stafi i KLSH-së kanë ndjekur aktivitete të zhvillimit profesional duke arritur një mesatare prej 29 ditësh trajnim/ auditues. </w:t>
      </w:r>
      <w:r w:rsidRPr="00221487">
        <w:rPr>
          <w:rFonts w:ascii="Times New Roman" w:eastAsia="Calibri" w:hAnsi="Times New Roman" w:cs="Times New Roman"/>
          <w:noProof/>
          <w:lang w:val="sq-AL"/>
        </w:rPr>
        <w:t>Si rrjedhojë, treguesi i rezultatit “</w:t>
      </w:r>
      <w:r w:rsidRPr="00221487">
        <w:rPr>
          <w:rFonts w:ascii="Times New Roman" w:eastAsia="Times New Roman" w:hAnsi="Times New Roman" w:cs="Times New Roman"/>
          <w:noProof/>
          <w:lang w:val="sq-AL"/>
        </w:rPr>
        <w:t>Është hartuar strategjia e trajnimit, audituesit janë të trajnuar sipas ISSAI-it</w:t>
      </w:r>
      <w:r w:rsidRPr="00221487">
        <w:rPr>
          <w:rFonts w:ascii="Times New Roman" w:eastAsia="Calibri" w:hAnsi="Times New Roman" w:cs="Times New Roman"/>
          <w:noProof/>
          <w:lang w:val="sq-AL"/>
        </w:rPr>
        <w:t xml:space="preserve">” për vitin 2018 është </w:t>
      </w:r>
      <w:r w:rsidRPr="00221487">
        <w:rPr>
          <w:rFonts w:ascii="Times New Roman" w:eastAsia="Calibri" w:hAnsi="Times New Roman" w:cs="Times New Roman"/>
          <w:b/>
          <w:noProof/>
          <w:lang w:val="sq-AL"/>
        </w:rPr>
        <w:t>përmbushur</w:t>
      </w:r>
      <w:r w:rsidRPr="00221487">
        <w:rPr>
          <w:rFonts w:ascii="Times New Roman" w:eastAsia="Calibri" w:hAnsi="Times New Roman" w:cs="Times New Roman"/>
          <w:noProof/>
          <w:lang w:val="sq-AL"/>
        </w:rPr>
        <w:t xml:space="preserve"> dhe vlera ishte 118%. Programi i trajnimit për vitin 2018 përfshinte tema të ndryshme trajnimi sipas nevojave të secilit individ dhe gjithashtu në përputhje me objektivat e institucionit për zhvillimin profesional. Programi i zhvillimit profesional për vitin 2018, i aprovuar nga Kryetari i KLSH-së në fillim të vitit, përfshin një përkufizim të qartë të qëllimeve dhe objektivave për rritjen e kapaciteteve dhe zhvillimin e burimeve njerëzore në KLSH gjatë vitit. Ai përcakton llojet e aktiviteteve të zhvillimit profesional siç janë: trajnime, workshop-e, seminare, konferenca profesionale dhe shkencore, vizita studimore dhe aktivitete të tjera për shkëmbimin e përvojave me institucione të tjera në Shqipëri dhe jashtë saj</w:t>
      </w:r>
      <w:r w:rsidRPr="00221487">
        <w:rPr>
          <w:rFonts w:ascii="Times New Roman" w:eastAsia="Calibri" w:hAnsi="Times New Roman" w:cs="Times New Roman"/>
          <w:noProof/>
          <w:vertAlign w:val="superscript"/>
          <w:lang w:val="sq-AL"/>
        </w:rPr>
        <w:footnoteReference w:id="32"/>
      </w:r>
      <w:r w:rsidRPr="00221487">
        <w:rPr>
          <w:rFonts w:ascii="Times New Roman" w:eastAsia="Calibri" w:hAnsi="Times New Roman" w:cs="Times New Roman"/>
          <w:noProof/>
          <w:lang w:val="sq-AL"/>
        </w:rPr>
        <w:t xml:space="preserve">. Seminaret/ workshop-et kryhen kryesisht nga ekspertë të lidhur në Projektet e Binjakëzimit, nga të cilët përfitojnë KLSH-ja, SSAP dhe organizata të tjera akademike dhe profesionale. Gjithashtu, disa nga seminaret brenda institucionit janë kryer nga KLSH-ja. Çdo ekspert auditimi mori pjesë në seminarin e organizuar nga KLSH-ja e shtetit homolog dhe institucionet e tjera të auditimit mbi zhvillimet e fundit të auditimit, standardet ISSAI dhe manualet përkatëse. </w:t>
      </w:r>
      <w:r w:rsidRPr="00221487">
        <w:rPr>
          <w:rFonts w:ascii="Times New Roman" w:eastAsia="Calibri" w:hAnsi="Times New Roman" w:cs="Times New Roman"/>
          <w:noProof/>
          <w:lang w:val="sq-AL"/>
        </w:rPr>
        <w:lastRenderedPageBreak/>
        <w:t>Në vitin 2018, zhvillimi i vazhdueshëm profesional u realizua përmes tre seancave kryesore, me 10-20 tema në muajt qershor, gusht dhe nëntor 2018 dhe u organizuan trajnime brenda institucionit me grupin e ekspertëve të KLSH-së duke u përqëndruar në çështjet teknike të auditimit publik, bazuar në zbatimin e Standardeve ISSAI.</w:t>
      </w:r>
    </w:p>
    <w:p w:rsidR="00221487" w:rsidRPr="00221487" w:rsidRDefault="00221487" w:rsidP="00221487">
      <w:pPr>
        <w:widowControl w:val="0"/>
        <w:spacing w:after="0"/>
        <w:jc w:val="both"/>
        <w:rPr>
          <w:rFonts w:ascii="Times New Roman" w:eastAsia="Calibri" w:hAnsi="Times New Roman" w:cs="Times New Roman"/>
          <w:noProof/>
          <w:lang w:val="sq-AL"/>
        </w:rPr>
      </w:pPr>
    </w:p>
    <w:p w:rsidR="00221487" w:rsidRPr="00221487" w:rsidRDefault="00221487" w:rsidP="00221487">
      <w:pPr>
        <w:spacing w:after="0"/>
        <w:jc w:val="both"/>
        <w:rPr>
          <w:rFonts w:ascii="Times New Roman" w:eastAsia="Times New Roman" w:hAnsi="Times New Roman" w:cs="Times New Roman"/>
          <w:noProof/>
          <w:lang w:val="sq-AL"/>
        </w:rPr>
      </w:pPr>
      <w:r w:rsidRPr="00221487">
        <w:rPr>
          <w:rFonts w:ascii="Times New Roman" w:eastAsia="Times New Roman" w:hAnsi="Times New Roman" w:cs="Times New Roman"/>
          <w:b/>
          <w:noProof/>
          <w:lang w:val="sq-AL"/>
        </w:rPr>
        <w:t>Në bashkëpunim me ekspertë në kuadër të Projektit IPA 2013 "Forcimi i Kapaciteteve të Auditimit të Jashtëm",</w:t>
      </w:r>
      <w:r w:rsidRPr="00221487">
        <w:rPr>
          <w:rFonts w:ascii="Times New Roman" w:eastAsia="Times New Roman" w:hAnsi="Times New Roman" w:cs="Times New Roman"/>
          <w:noProof/>
          <w:lang w:val="sq-AL"/>
        </w:rPr>
        <w:t xml:space="preserve"> gjatë 6 muajve të parë të 2018, u zhvilluan disa trajnime dhe seminare të përqendruara në pasqyrat financiare dhe procesin e auditimit të përputhshmërisë, në përputhje me një metodologji të auditimit të bazuar në risk, dhe zbatimi praktik i procedurave dhe teknikave të auditimit. Trajnime të tilla synojnë të sigurojnë se metodat e miratuara përmbajnë një mirëkuptim të plotë të subjektit të audituar dhe mjedisit të tyre të kontrollit të brendshëm duke marrë parasysh riskun e mashtrimit, ose mosrespektimit të autoriteteve. Materiali trajnues i përshtatur sipas nevojave të institucionet shqiptare, u realizuan mbi tema të zgjedhura dhe ditë shtesë kalendarike të njëpasnjëshme kursesh praktike. Janë kryer një numër auditimesh financiare dhe të përputhshmërisë, pilote, për të vlerësuar sa të përshtatshëm janë në praktikë Manualet e Auditimit Financiar dhe Auditimit të Përputhshmërisë.</w:t>
      </w:r>
    </w:p>
    <w:p w:rsidR="00221487" w:rsidRPr="00221487" w:rsidRDefault="00221487" w:rsidP="00221487">
      <w:pPr>
        <w:spacing w:after="0"/>
        <w:jc w:val="both"/>
        <w:rPr>
          <w:rFonts w:ascii="Times New Roman" w:eastAsia="Times New Roman" w:hAnsi="Times New Roman" w:cs="Times New Roman"/>
          <w:b/>
          <w:noProof/>
          <w:lang w:val="sq-AL"/>
        </w:rPr>
      </w:pPr>
    </w:p>
    <w:p w:rsidR="00221487" w:rsidRPr="00221487" w:rsidRDefault="00221487" w:rsidP="00221487">
      <w:pPr>
        <w:spacing w:after="3"/>
        <w:rPr>
          <w:rFonts w:ascii="Times New Roman" w:eastAsia="Times New Roman" w:hAnsi="Times New Roman" w:cs="Times New Roman"/>
          <w:noProof/>
          <w:lang w:val="sq-AL"/>
        </w:rPr>
      </w:pPr>
    </w:p>
    <w:p w:rsidR="00221487" w:rsidRPr="00221487" w:rsidRDefault="00221487" w:rsidP="00221487">
      <w:pPr>
        <w:spacing w:after="3"/>
        <w:rPr>
          <w:rFonts w:ascii="Times New Roman" w:eastAsia="Times New Roman" w:hAnsi="Times New Roman" w:cs="Times New Roman"/>
          <w:noProof/>
          <w:lang w:val="sq-AL"/>
        </w:rPr>
      </w:pPr>
    </w:p>
    <w:p w:rsidR="00221487" w:rsidRPr="00221487" w:rsidRDefault="00221487" w:rsidP="00221487">
      <w:pPr>
        <w:spacing w:after="3"/>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  </w:t>
      </w:r>
    </w:p>
    <w:p w:rsidR="00221487" w:rsidRPr="00221487" w:rsidRDefault="00221487" w:rsidP="00221487">
      <w:pPr>
        <w:spacing w:after="9"/>
        <w:jc w:val="both"/>
        <w:rPr>
          <w:rFonts w:ascii="Times New Roman" w:eastAsia="Times New Roman" w:hAnsi="Times New Roman" w:cs="Times New Roman"/>
          <w:noProof/>
          <w:lang w:val="sq-AL"/>
        </w:rPr>
      </w:pPr>
      <w:r w:rsidRPr="00221487">
        <w:rPr>
          <w:rFonts w:ascii="Times New Roman" w:eastAsia="Times New Roman" w:hAnsi="Times New Roman" w:cs="Times New Roman"/>
          <w:b/>
          <w:noProof/>
          <w:lang w:val="sq-AL"/>
        </w:rPr>
        <w:t>Masa 2: Rritja e trajnimeve dhe përdorimi i Teknologjisë së Informacionit në të njëjtën kohë me prezantimin e procedurave të reja të auditit (</w:t>
      </w:r>
      <w:r w:rsidRPr="00221487">
        <w:rPr>
          <w:rFonts w:ascii="Times New Roman" w:eastAsia="Times New Roman" w:hAnsi="Times New Roman" w:cs="Times New Roman"/>
          <w:b/>
          <w:i/>
          <w:noProof/>
          <w:lang w:val="sq-AL"/>
        </w:rPr>
        <w:t>i përmbushur)</w:t>
      </w:r>
      <w:r w:rsidRPr="00221487">
        <w:rPr>
          <w:rFonts w:ascii="Times New Roman" w:eastAsia="Times New Roman" w:hAnsi="Times New Roman" w:cs="Times New Roman"/>
          <w:noProof/>
          <w:lang w:val="sq-AL"/>
        </w:rPr>
        <w:t xml:space="preserve"> </w:t>
      </w:r>
    </w:p>
    <w:p w:rsidR="00221487" w:rsidRPr="00221487" w:rsidRDefault="00221487" w:rsidP="00221487">
      <w:pPr>
        <w:spacing w:after="9"/>
        <w:jc w:val="both"/>
        <w:rPr>
          <w:rFonts w:ascii="Times New Roman" w:eastAsia="Times New Roman" w:hAnsi="Times New Roman" w:cs="Times New Roman"/>
          <w:noProof/>
          <w:lang w:val="sq-AL"/>
        </w:rPr>
      </w:pPr>
    </w:p>
    <w:p w:rsidR="00221487" w:rsidRPr="00221487" w:rsidRDefault="00221487" w:rsidP="00221487">
      <w:pPr>
        <w:spacing w:after="0"/>
        <w:ind w:left="1"/>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KLSH-ja ka vazhduar të reflektojë zhvillimet e auditimit të Teknologjisë së Informacionit (TI-së) në Strategjinë e saj për Zhvillim 2018 – 2022, në pjesën e Qëllimit të Parë Strategjik, objektivi 1.4 "Thellimi i auditimit të Teknologjisë së Informacionit". Sfidat në lidhje me auditimin e TI-së dhe prezantimi i një numri në rritje të projekteve elektronike qeveritare nxisin nevojën për zhvillime të mëtejshme, shtrirjen dhe thellimin e këtij lloji auditimi, të cilin KLSH-ja e trajton duke e kthyer performancën dhe zhvillimin e auditimeve të TI-së si një nga objektivat e saj strategjikë për periudhat e ardhshme.</w:t>
      </w:r>
    </w:p>
    <w:p w:rsidR="00221487" w:rsidRPr="00221487" w:rsidRDefault="00221487" w:rsidP="00221487">
      <w:pPr>
        <w:spacing w:after="0"/>
        <w:ind w:left="1"/>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Si rrjedhojë, një nga objektivat e KLSH-së për vitin 2018 ishte konsolidimi i auditimit të TI-së dhe përdorimi i elementeve të auditimit të TI-së në auditimet e përputhshmërisë, ato financiare dhe të performancës, duke përfshirë aspektet si më poshtë:</w:t>
      </w:r>
    </w:p>
    <w:p w:rsidR="00221487" w:rsidRPr="00221487" w:rsidRDefault="00221487" w:rsidP="007C6F79">
      <w:pPr>
        <w:numPr>
          <w:ilvl w:val="0"/>
          <w:numId w:val="19"/>
        </w:numPr>
        <w:spacing w:after="0" w:line="240" w:lineRule="auto"/>
        <w:contextualSpacing/>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Zhvillimi i mëtejshëm i kapaciteteve të auditimit për sistemet e TI-së, </w:t>
      </w:r>
      <w:r w:rsidR="00815552">
        <w:rPr>
          <w:rFonts w:ascii="Times New Roman" w:eastAsia="Times New Roman" w:hAnsi="Times New Roman" w:cs="Times New Roman"/>
          <w:noProof/>
          <w:lang w:val="sq-AL"/>
        </w:rPr>
        <w:t>në mënyr</w:t>
      </w:r>
      <w:r w:rsidRPr="00221487">
        <w:rPr>
          <w:rFonts w:ascii="Times New Roman" w:eastAsia="Times New Roman" w:hAnsi="Times New Roman" w:cs="Times New Roman"/>
          <w:noProof/>
          <w:lang w:val="sq-AL"/>
        </w:rPr>
        <w:t xml:space="preserve">ë </w:t>
      </w:r>
      <w:r w:rsidR="00815552">
        <w:rPr>
          <w:rFonts w:ascii="Times New Roman" w:eastAsia="Times New Roman" w:hAnsi="Times New Roman" w:cs="Times New Roman"/>
          <w:noProof/>
          <w:lang w:val="sq-AL"/>
        </w:rPr>
        <w:t xml:space="preserve">që të </w:t>
      </w:r>
      <w:r w:rsidRPr="00221487">
        <w:rPr>
          <w:rFonts w:ascii="Times New Roman" w:eastAsia="Times New Roman" w:hAnsi="Times New Roman" w:cs="Times New Roman"/>
          <w:noProof/>
          <w:lang w:val="sq-AL"/>
        </w:rPr>
        <w:t>garant</w:t>
      </w:r>
      <w:r w:rsidR="00815552">
        <w:rPr>
          <w:rFonts w:ascii="Times New Roman" w:eastAsia="Times New Roman" w:hAnsi="Times New Roman" w:cs="Times New Roman"/>
          <w:noProof/>
          <w:lang w:val="sq-AL"/>
        </w:rPr>
        <w:t xml:space="preserve">ohet </w:t>
      </w:r>
      <w:r w:rsidRPr="00221487">
        <w:rPr>
          <w:rFonts w:ascii="Times New Roman" w:eastAsia="Times New Roman" w:hAnsi="Times New Roman" w:cs="Times New Roman"/>
          <w:noProof/>
          <w:lang w:val="sq-AL"/>
        </w:rPr>
        <w:t>siguri</w:t>
      </w:r>
      <w:r w:rsidR="00815552">
        <w:rPr>
          <w:rFonts w:ascii="Times New Roman" w:eastAsia="Times New Roman" w:hAnsi="Times New Roman" w:cs="Times New Roman"/>
          <w:noProof/>
          <w:lang w:val="sq-AL"/>
        </w:rPr>
        <w:t xml:space="preserve"> e arsyeshme </w:t>
      </w:r>
      <w:r w:rsidRPr="00221487">
        <w:rPr>
          <w:rFonts w:ascii="Times New Roman" w:eastAsia="Times New Roman" w:hAnsi="Times New Roman" w:cs="Times New Roman"/>
          <w:noProof/>
          <w:lang w:val="sq-AL"/>
        </w:rPr>
        <w:t xml:space="preserve">(për çdo lloj: auditimi financiar, performanca, përputhshmëria dhe kontrollet rregullatore) </w:t>
      </w:r>
      <w:r w:rsidR="00815552">
        <w:rPr>
          <w:rFonts w:ascii="Times New Roman" w:eastAsia="Times New Roman" w:hAnsi="Times New Roman" w:cs="Times New Roman"/>
          <w:noProof/>
          <w:lang w:val="sq-AL"/>
        </w:rPr>
        <w:t>i</w:t>
      </w:r>
      <w:r w:rsidRPr="00221487">
        <w:rPr>
          <w:rFonts w:ascii="Times New Roman" w:eastAsia="Times New Roman" w:hAnsi="Times New Roman" w:cs="Times New Roman"/>
          <w:noProof/>
          <w:lang w:val="sq-AL"/>
        </w:rPr>
        <w:t xml:space="preserve"> të dhënave të ruajtura në këto sisteme;</w:t>
      </w:r>
    </w:p>
    <w:p w:rsidR="00221487" w:rsidRPr="00221487" w:rsidRDefault="00CD1BDE" w:rsidP="00CD1BDE">
      <w:pPr>
        <w:numPr>
          <w:ilvl w:val="0"/>
          <w:numId w:val="19"/>
        </w:numPr>
        <w:spacing w:after="0" w:line="240" w:lineRule="auto"/>
        <w:contextualSpacing/>
        <w:jc w:val="both"/>
        <w:rPr>
          <w:rFonts w:ascii="Times New Roman" w:eastAsia="Times New Roman" w:hAnsi="Times New Roman" w:cs="Times New Roman"/>
          <w:noProof/>
          <w:lang w:val="sq-AL"/>
        </w:rPr>
      </w:pPr>
      <w:r w:rsidRPr="00CD1BDE">
        <w:rPr>
          <w:rFonts w:ascii="Times New Roman" w:eastAsia="Times New Roman" w:hAnsi="Times New Roman" w:cs="Times New Roman"/>
          <w:noProof/>
          <w:lang w:val="sq-AL"/>
        </w:rPr>
        <w:t>Zhvillimi i mëtejshëm i aftësive të auditimit me kompjuter- me mjete ndihmese kompjuterike të Auditimit (CAAT), Nxjerrje dhe Analizë të të Dhënave Ndërvepruese (IDEA) dhe Objektivat e Kontrollit për Informacionin dhe teknikat  e lidhura Teknologjike (COBIT) dhe njohurite e TI;</w:t>
      </w:r>
      <w:r w:rsidR="00221487" w:rsidRPr="00221487">
        <w:rPr>
          <w:rFonts w:ascii="Times New Roman" w:eastAsia="Times New Roman" w:hAnsi="Times New Roman" w:cs="Times New Roman"/>
          <w:noProof/>
          <w:lang w:val="sq-AL"/>
        </w:rPr>
        <w:t xml:space="preserve"> </w:t>
      </w:r>
    </w:p>
    <w:p w:rsidR="00221487" w:rsidRPr="00221487" w:rsidRDefault="00CD1BDE" w:rsidP="00CD1BDE">
      <w:pPr>
        <w:numPr>
          <w:ilvl w:val="0"/>
          <w:numId w:val="19"/>
        </w:numPr>
        <w:spacing w:after="0" w:line="240" w:lineRule="auto"/>
        <w:contextualSpacing/>
        <w:jc w:val="both"/>
        <w:rPr>
          <w:rFonts w:ascii="Times New Roman" w:eastAsia="Times New Roman" w:hAnsi="Times New Roman" w:cs="Times New Roman"/>
          <w:noProof/>
          <w:lang w:val="sq-AL"/>
        </w:rPr>
      </w:pPr>
      <w:r w:rsidRPr="00CD1BDE">
        <w:rPr>
          <w:rFonts w:ascii="Times New Roman" w:eastAsia="Times New Roman" w:hAnsi="Times New Roman" w:cs="Times New Roman"/>
          <w:noProof/>
          <w:lang w:val="sq-AL"/>
        </w:rPr>
        <w:t>Pajisja e audituesve te TI të ALSAI me çertifikata të njohura ndërkombëtarisht për auditimin e TI, duke marrë parasysh burimet e kërkuara kundrejt angazhimeve financiare të ndërmarra</w:t>
      </w:r>
      <w:r w:rsidR="00221487" w:rsidRPr="00221487">
        <w:rPr>
          <w:rFonts w:ascii="Times New Roman" w:eastAsia="Times New Roman" w:hAnsi="Times New Roman" w:cs="Times New Roman"/>
          <w:noProof/>
          <w:lang w:val="sq-AL"/>
        </w:rPr>
        <w:t xml:space="preserve">. </w:t>
      </w:r>
    </w:p>
    <w:p w:rsidR="00221487" w:rsidRPr="00221487" w:rsidRDefault="00221487" w:rsidP="00221487">
      <w:pPr>
        <w:spacing w:after="0"/>
        <w:ind w:left="1"/>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Gjatë vitit 2018, Drejtoria e Auditimit të TI-së u riemërtua si Departamenti i Auditimit të TI-së dhe numri i audituesve të TI-së u rrit në 10 auditues.</w:t>
      </w:r>
    </w:p>
    <w:p w:rsidR="00221487" w:rsidRPr="00221487" w:rsidRDefault="00221487" w:rsidP="00221487">
      <w:pPr>
        <w:spacing w:after="0"/>
        <w:ind w:left="1"/>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Trajnimi për audituesit e TI-së u kryhen nga ekspertë vendas, si dhe shumica e audituesve të TI-së ndoqën trajnime jashtë vendit (njëri prej audituesve të TI-së po ndjek programin e praktikës në Gjykatën Evropiane të Audituesëve). Secili auditues i TI-së u trajnua me më shumë se 25 ditë trajnimi gjatë gjithë vitit 2018.</w:t>
      </w:r>
    </w:p>
    <w:p w:rsidR="00221487" w:rsidRPr="00221487" w:rsidRDefault="00221487" w:rsidP="00221487">
      <w:pPr>
        <w:spacing w:after="0"/>
        <w:ind w:left="1"/>
        <w:jc w:val="both"/>
        <w:rPr>
          <w:rFonts w:ascii="Times New Roman" w:eastAsia="Times New Roman" w:hAnsi="Times New Roman" w:cs="Times New Roman"/>
          <w:noProof/>
          <w:lang w:val="sq-AL"/>
        </w:rPr>
      </w:pPr>
    </w:p>
    <w:p w:rsidR="00221487" w:rsidRPr="00221487" w:rsidRDefault="00221487" w:rsidP="00221487">
      <w:pPr>
        <w:spacing w:after="0"/>
        <w:ind w:left="1"/>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Përveç trajnimeve, metodologjia dhe udhëzimet e auditimit të TI-së u zhvilluan dhe u përditësuan kryesisht për rritjen e formimit profesional të auditimit të TI-së në tre elemente kryesore:</w:t>
      </w:r>
    </w:p>
    <w:p w:rsidR="00221487" w:rsidRPr="00221487" w:rsidRDefault="00221487" w:rsidP="007C6F79">
      <w:pPr>
        <w:numPr>
          <w:ilvl w:val="0"/>
          <w:numId w:val="37"/>
        </w:numPr>
        <w:spacing w:after="0" w:line="240" w:lineRule="auto"/>
        <w:ind w:left="709"/>
        <w:contextualSpacing/>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lastRenderedPageBreak/>
        <w:t>Komponenti i parë ishte në MANK siç janë zyra, NADI, teknikat e vizualizimit, programet e kontabilitetit dhe menaxhimit të bazës së të dhënave;</w:t>
      </w:r>
    </w:p>
    <w:p w:rsidR="00221487" w:rsidRPr="00221487" w:rsidRDefault="00221487" w:rsidP="007C6F79">
      <w:pPr>
        <w:numPr>
          <w:ilvl w:val="0"/>
          <w:numId w:val="37"/>
        </w:numPr>
        <w:spacing w:after="0" w:line="240" w:lineRule="auto"/>
        <w:ind w:left="709"/>
        <w:contextualSpacing/>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Komponenti i dytë ishte sistemet e informacionit të menaxhimit, siguria e informacionit dhe krimet kibernetike mbi palët e audituara; </w:t>
      </w:r>
    </w:p>
    <w:p w:rsidR="00221487" w:rsidRPr="00221487" w:rsidRDefault="00221487" w:rsidP="007C6F79">
      <w:pPr>
        <w:numPr>
          <w:ilvl w:val="0"/>
          <w:numId w:val="37"/>
        </w:numPr>
        <w:spacing w:after="0" w:line="240" w:lineRule="auto"/>
        <w:ind w:left="709"/>
        <w:contextualSpacing/>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Komponenti i tretë ishte në manualin dhe udhëzimet e auditimit të TI-së.</w:t>
      </w:r>
    </w:p>
    <w:p w:rsidR="00221487" w:rsidRPr="00221487" w:rsidRDefault="00221487" w:rsidP="00221487">
      <w:pPr>
        <w:spacing w:after="0"/>
        <w:ind w:left="1"/>
        <w:jc w:val="both"/>
        <w:rPr>
          <w:rFonts w:ascii="Times New Roman" w:eastAsia="Times New Roman" w:hAnsi="Times New Roman" w:cs="Times New Roman"/>
          <w:noProof/>
          <w:lang w:val="sq-AL"/>
        </w:rPr>
      </w:pPr>
    </w:p>
    <w:p w:rsidR="00221487" w:rsidRPr="00221487" w:rsidRDefault="00221487" w:rsidP="00221487">
      <w:pPr>
        <w:spacing w:after="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Gjatë vitit 2018, Departamenti i Auditimit të TI-së realizoi gjithsej gjashtë auditime të TI-së, përfshirë dy auditime pilote:</w:t>
      </w:r>
    </w:p>
    <w:p w:rsidR="00221487" w:rsidRPr="00221487" w:rsidRDefault="00221487" w:rsidP="007C6F79">
      <w:pPr>
        <w:numPr>
          <w:ilvl w:val="0"/>
          <w:numId w:val="38"/>
        </w:numPr>
        <w:spacing w:after="0" w:line="240" w:lineRule="auto"/>
        <w:contextualSpacing/>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Një auditim pilot i TI-së në “Agjencinë Kombëtare të Barnave, Pajisjeve Mjekësore” (MEDA) me mbështetjen e Programit të Nismës për Zhvillim të INTOSAI-it;</w:t>
      </w:r>
    </w:p>
    <w:p w:rsidR="00221487" w:rsidRPr="00221487" w:rsidRDefault="00221487" w:rsidP="007C6F79">
      <w:pPr>
        <w:numPr>
          <w:ilvl w:val="0"/>
          <w:numId w:val="38"/>
        </w:numPr>
        <w:spacing w:after="0" w:line="240" w:lineRule="auto"/>
        <w:contextualSpacing/>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Një auditim pilot i TI-së në “Drejtorinë e Përgjithshme të Taksave dhe Tarifave Vendore në Tiranë (DPTTV)” e ndihmuar nga projekti IPA 2013;</w:t>
      </w:r>
    </w:p>
    <w:p w:rsidR="00221487" w:rsidRPr="00221487" w:rsidRDefault="00221487" w:rsidP="00221487">
      <w:pPr>
        <w:spacing w:after="0"/>
        <w:jc w:val="both"/>
        <w:rPr>
          <w:rFonts w:ascii="Times New Roman" w:eastAsia="Times New Roman" w:hAnsi="Times New Roman" w:cs="Times New Roman"/>
          <w:noProof/>
          <w:lang w:val="sq-AL"/>
        </w:rPr>
      </w:pPr>
    </w:p>
    <w:p w:rsidR="00221487" w:rsidRPr="00221487" w:rsidRDefault="00221487" w:rsidP="00221487">
      <w:pPr>
        <w:spacing w:after="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Rezultatet e auditimeve ndahen me drejtoritë e tjera të auditimit përmes trajnimeve dhe aktiviteteve të tjera për shkëmbim përvoje.</w:t>
      </w:r>
    </w:p>
    <w:p w:rsidR="00221487" w:rsidRPr="00221487" w:rsidRDefault="00221487" w:rsidP="00221487">
      <w:pPr>
        <w:spacing w:after="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Një program i ri REV Zone është pranuar dhe i gjithë stafi i KLSH-së ishte trajnuar për përdorimin e tij gjatë punës së përditshme. Në muajin nëntor 2018, në Tiranë u organizua një seminar 2-ditor me mbështetjen e Programit (EUROSAI) me pjesëmarrjen e audituesëve të KLSH-ve të rajonit, si dhe audituesëve të TI-së së KLSH-së.</w:t>
      </w:r>
    </w:p>
    <w:p w:rsidR="00221487" w:rsidRPr="00221487" w:rsidRDefault="00221487" w:rsidP="00221487">
      <w:pPr>
        <w:spacing w:after="0"/>
        <w:jc w:val="both"/>
        <w:rPr>
          <w:rFonts w:ascii="Times New Roman" w:eastAsia="Times New Roman" w:hAnsi="Times New Roman" w:cs="Times New Roman"/>
          <w:noProof/>
          <w:lang w:val="sq-AL"/>
        </w:rPr>
      </w:pPr>
    </w:p>
    <w:p w:rsidR="00221487" w:rsidRPr="00221487" w:rsidRDefault="00221487" w:rsidP="00221487">
      <w:pPr>
        <w:spacing w:after="9"/>
        <w:jc w:val="both"/>
        <w:rPr>
          <w:rFonts w:ascii="Times New Roman" w:eastAsia="Times New Roman" w:hAnsi="Times New Roman" w:cs="Times New Roman"/>
          <w:noProof/>
          <w:lang w:val="sq-AL"/>
        </w:rPr>
      </w:pPr>
      <w:r w:rsidRPr="00221487">
        <w:rPr>
          <w:rFonts w:ascii="Times New Roman" w:eastAsia="Times New Roman" w:hAnsi="Times New Roman" w:cs="Times New Roman"/>
          <w:b/>
          <w:noProof/>
          <w:lang w:val="sq-AL"/>
        </w:rPr>
        <w:t>Masa 3: Përmirësimi i marrëdhënieve të komunikimit me klientët kryesorë si parlamenti, qeveria, media dhe qytetarët në mënyrë që të përmirësohet ndikimi i punës së auditimit (</w:t>
      </w:r>
      <w:r w:rsidRPr="00221487">
        <w:rPr>
          <w:rFonts w:ascii="Times New Roman" w:eastAsia="Times New Roman" w:hAnsi="Times New Roman" w:cs="Times New Roman"/>
          <w:b/>
          <w:i/>
          <w:noProof/>
          <w:lang w:val="sq-AL"/>
        </w:rPr>
        <w:t>në process / i vonuar</w:t>
      </w:r>
      <w:r w:rsidRPr="00221487">
        <w:rPr>
          <w:rFonts w:ascii="Times New Roman" w:eastAsia="Times New Roman" w:hAnsi="Times New Roman" w:cs="Times New Roman"/>
          <w:b/>
          <w:noProof/>
          <w:lang w:val="sq-AL"/>
        </w:rPr>
        <w:t>)</w:t>
      </w:r>
      <w:r w:rsidRPr="00221487">
        <w:rPr>
          <w:rFonts w:ascii="Times New Roman" w:eastAsia="Times New Roman" w:hAnsi="Times New Roman" w:cs="Times New Roman"/>
          <w:noProof/>
          <w:lang w:val="sq-AL"/>
        </w:rPr>
        <w:t xml:space="preserve"> </w:t>
      </w:r>
    </w:p>
    <w:p w:rsidR="00221487" w:rsidRPr="00221487" w:rsidRDefault="00221487" w:rsidP="00221487">
      <w:pPr>
        <w:spacing w:after="9"/>
        <w:jc w:val="both"/>
        <w:rPr>
          <w:rFonts w:ascii="Times New Roman" w:eastAsia="Times New Roman" w:hAnsi="Times New Roman" w:cs="Times New Roman"/>
          <w:noProof/>
          <w:lang w:val="sq-AL"/>
        </w:rPr>
      </w:pPr>
    </w:p>
    <w:p w:rsidR="00221487" w:rsidRPr="00221487" w:rsidRDefault="00221487" w:rsidP="00221487">
      <w:pPr>
        <w:spacing w:after="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Gjatë vitit 2018, KLSH-ja u udhëhoq nga parimi i përmbushjes së detyrimeve kushtetuese, duke vepruar si një agjent i parlamentit për të siguruar përgjegjshmëri dhe transparencë në përdorimin e fondeve publike nga institucionet e qeverisë qendrore dhe vendore. Në këtë drejtim, KLSH-ja vazhdon të përmirësojë marrëdhëniet e saj me parlamentin, veçanërisht me Komisionin e Ekonomisë dhe Financave, ku aktivitetet e tij kryesore janë renditur më poshtë:</w:t>
      </w:r>
    </w:p>
    <w:p w:rsidR="00221487" w:rsidRPr="00221487" w:rsidRDefault="00221487" w:rsidP="007C6F79">
      <w:pPr>
        <w:numPr>
          <w:ilvl w:val="0"/>
          <w:numId w:val="20"/>
        </w:numPr>
        <w:spacing w:after="0" w:line="240" w:lineRule="auto"/>
        <w:contextualSpacing/>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Në kuadër të zbatimit të projektit IPA 2013 - Programet Kombëtare IPA / Komponenti I, më 30 qershor 2018 (nr. Reference 34/39) u aprovua udhëzimi "Institucionalizimi i marrëdhënieve midis KLSH-së dhe Parlamentit” nga kryetari i KLSH-së. Ky dokument ishte një produkt i projektit IPA. Udhëzimi "Për Institucionalizimin e Marrëdhënieve Efektive të KLSH-së me Parlamentin" ofron qasjen strategjike të institucionit në përputhje me frymën dhe mesazhet e referuara në dy rezolutat e miratuara nga Organizata e Kombeve të Bashkuara në kuadër të Programit të saj të Zhvillimit pas 2015 (Rezoluta A / 66/209 "Promovimi i Efikasitetit, Përgjegjshmërisë, Efektivitetit dhe Transparencës së Administratës Publike, Forcimi i Institucioneve Supreme të Auditimit" dhe Rezoluta A / 69/228: "Promovimi dhe forcimi i efikasitetit, përgjegjshmërisë, efektivitetit dhe transparencës së administratës publike, duke forcuar Institucionet e Kontrollit të Lartë të Auditimit"). Përmes këtyre rezolutave, OKB-ja inkurajon parlamentet e Shteteve Anëtare të forcojnë pavarësinë e KLSH-së në vendet e tyre dhe të bashkëpunojnë më ngushtë me ta. Miratimi i rezolutave përbën kurorëzimin e përpjekjeve nga KLSH-të nga e gjithë bota, përmes lobimit konkret të organizuar nga Organizata e tyre udhëheqëse, ONISA. Udhëzimi "Për Institucionalizimin e Marrëdhënieve të ALSAI me Parlamentin" synon intensifikimin dhe përparimin drejt zhvillimit të mëtejshëm të marrëdhënieve me Parlamentin shqiptar, i cili shërben si një instrument efektiv dhe funksional në përmbushjen e “moto-s” të Strategjisë së Zhvillimit të KLSH-së për 2018-2020, “KLSH-ja shërbëtor i qytetarit”.</w:t>
      </w:r>
    </w:p>
    <w:p w:rsidR="00221487" w:rsidRPr="00221487" w:rsidRDefault="00221487" w:rsidP="007C6F79">
      <w:pPr>
        <w:numPr>
          <w:ilvl w:val="0"/>
          <w:numId w:val="20"/>
        </w:numPr>
        <w:spacing w:after="0" w:line="240" w:lineRule="auto"/>
        <w:contextualSpacing/>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Parlamenti miratoi më 19 korrik 2018, rezolutën për vlerësimin e veprimtarisë së KLSH-së për 2017. Në këtë kuadër dhe bazuar në Vendimin e Parlamentit Nr. 49/2017, datë 20.04.2017 "Për krijimin e mekanizmave për monitorimin sistematik i përcjelljes dhe zbatimit të rekomandimeve të institucioneve </w:t>
      </w:r>
      <w:r w:rsidRPr="00221487">
        <w:rPr>
          <w:rFonts w:ascii="Times New Roman" w:eastAsia="Times New Roman" w:hAnsi="Times New Roman" w:cs="Times New Roman"/>
          <w:noProof/>
          <w:lang w:val="sq-AL"/>
        </w:rPr>
        <w:lastRenderedPageBreak/>
        <w:t xml:space="preserve">të pavarura kushtetuese dhe juridike", Kryetari i KLSH-së ka aprovuar Planin e Veprimit "Për Zbatimin e Rekomandimeve të Rezolutës së Parlamentit më 19 korrik 2018" (Nr.113 / 4 Ref, datë 26.09.2018). Në përmbushje të detyrimeve të KLSH-së, sipas këtij dokumenti, KLSH-ja raportoi në muajin janar 2019 mbi statusin e zbatimit për rekomandimet të rezolutës së Kuvendit për vlerësimin e veprimtarisë së KLSH-së për vitin 2017, duke iu referuar planit të veprimit për zbatimin e kësaj rezolute. </w:t>
      </w:r>
      <w:r w:rsidRPr="00221487">
        <w:rPr>
          <w:rFonts w:ascii="Times New Roman" w:eastAsia="Times New Roman" w:hAnsi="Times New Roman" w:cs="Times New Roman"/>
          <w:b/>
          <w:noProof/>
          <w:lang w:val="sq-AL"/>
        </w:rPr>
        <w:t>Gjatë vitit 2018, KLSH-ja i ka dërguar Parlamentit 56 vendime/ raporte të auditimit, në lidhje me çështje shumë të ndjeshme.</w:t>
      </w:r>
    </w:p>
    <w:p w:rsidR="00221487" w:rsidRPr="00221487" w:rsidRDefault="00221487" w:rsidP="007C6F79">
      <w:pPr>
        <w:numPr>
          <w:ilvl w:val="0"/>
          <w:numId w:val="20"/>
        </w:numPr>
        <w:spacing w:after="0" w:line="240" w:lineRule="auto"/>
        <w:contextualSpacing/>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Takimi "Për zhvillimin e marrëdhënieve efektive të punës midis KLSH-së dhe Parlamentit" luajti një rol të madh në intensifikimin e bashkëpunimit midis tyre. Takimi u organizua nga KLSH-ja dhe SIGMA, më 4 qershor 2018. Qëllimi i këtij takimi ishte rritja e ndërgjegjësimit të palëve të interesuara në rolin e Kontrollit të Lartë të Shtetit për krijimin dhe zhvillimin e marrëdhënieve efektive me Kuvendin, shoqërinë civile dhe grupet e interesit, me qëllim rritjen e ndikimit të punës së auditimit dhe mbështetjes në misionin e KLSH-së, si një institucion "rojtar" në shërbim të qytetarit dhe parlamentit për të përmbushur vazhdimisht rolin e tij kushtetues dhe për të garantuar transparencë dhe përgjegjshmëri në përdorim të fondeve publike.</w:t>
      </w:r>
    </w:p>
    <w:p w:rsidR="00221487" w:rsidRPr="00221487" w:rsidRDefault="00221487" w:rsidP="00221487">
      <w:pPr>
        <w:spacing w:after="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Gjithashtu, KLSH-ja në bashkëpunim me Institutin për Demokraci dhe Ndërmjetësim, organizuan më 14 dhjetor 2018, Konferencën Kombëtare "Për një autoritet kombëtar të antikorrupsionit të mire vendosur në sistemin qeveritar" i përqëndruar në çështje të antikorrupsionit, me pjesëmarrje të anëtarëve të Parlamentit të Shqipërisë.</w:t>
      </w:r>
    </w:p>
    <w:p w:rsidR="00221487" w:rsidRPr="00221487" w:rsidRDefault="00221487" w:rsidP="00221487">
      <w:pPr>
        <w:spacing w:after="0"/>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Struktura e raportimit të raporteve të auditimit është përmirësuar për të përmbushur më mirë kërkesat dhe për të kënaqur palët e interesuara. Sidoqoftë, si pjesë e rishikimit dhe përditësimit të kornizës metodologjike, KLSH-ja do të ndryshojë përmbajtjen dhe qasjen e shkrimit të raporteve që duhet të pasqyrohen në Manualet e Auditimit.</w:t>
      </w:r>
    </w:p>
    <w:p w:rsidR="00221487" w:rsidRPr="00221487" w:rsidRDefault="00221487" w:rsidP="00221487">
      <w:pPr>
        <w:spacing w:after="0"/>
        <w:jc w:val="both"/>
        <w:rPr>
          <w:rFonts w:ascii="Times New Roman" w:eastAsia="Times New Roman" w:hAnsi="Times New Roman" w:cs="Times New Roman"/>
          <w:noProof/>
          <w:lang w:val="sq-AL"/>
        </w:rPr>
      </w:pPr>
    </w:p>
    <w:p w:rsidR="00221487" w:rsidRPr="00221487" w:rsidRDefault="00221487" w:rsidP="00221487">
      <w:pPr>
        <w:spacing w:after="9"/>
        <w:jc w:val="both"/>
        <w:rPr>
          <w:rFonts w:ascii="Times New Roman" w:eastAsia="Times New Roman" w:hAnsi="Times New Roman" w:cs="Times New Roman"/>
          <w:noProof/>
          <w:lang w:val="sq-AL"/>
        </w:rPr>
      </w:pPr>
      <w:r w:rsidRPr="00221487">
        <w:rPr>
          <w:rFonts w:ascii="Times New Roman" w:eastAsia="Times New Roman" w:hAnsi="Times New Roman" w:cs="Times New Roman"/>
          <w:b/>
          <w:noProof/>
          <w:lang w:val="sq-AL"/>
        </w:rPr>
        <w:t>Masa 4: Prezantimi i aktivitete të sigurimit të cilësisë gjatë auditimit (</w:t>
      </w:r>
      <w:r w:rsidRPr="00221487">
        <w:rPr>
          <w:rFonts w:ascii="Times New Roman" w:eastAsia="Times New Roman" w:hAnsi="Times New Roman" w:cs="Times New Roman"/>
          <w:b/>
          <w:i/>
          <w:noProof/>
          <w:lang w:val="sq-AL"/>
        </w:rPr>
        <w:t>në proces/ i vonuar</w:t>
      </w:r>
      <w:r w:rsidRPr="00221487">
        <w:rPr>
          <w:rFonts w:ascii="Times New Roman" w:eastAsia="Times New Roman" w:hAnsi="Times New Roman" w:cs="Times New Roman"/>
          <w:b/>
          <w:noProof/>
          <w:lang w:val="sq-AL"/>
        </w:rPr>
        <w:t>)</w:t>
      </w:r>
      <w:r w:rsidRPr="00221487">
        <w:rPr>
          <w:rFonts w:ascii="Times New Roman" w:eastAsia="Times New Roman" w:hAnsi="Times New Roman" w:cs="Times New Roman"/>
          <w:noProof/>
          <w:lang w:val="sq-AL"/>
        </w:rPr>
        <w:t xml:space="preserve"> </w:t>
      </w:r>
    </w:p>
    <w:p w:rsidR="00221487" w:rsidRPr="00221487" w:rsidRDefault="00221487" w:rsidP="00221487">
      <w:pPr>
        <w:spacing w:after="0"/>
        <w:jc w:val="both"/>
        <w:rPr>
          <w:rFonts w:ascii="Times New Roman" w:eastAsia="Times New Roman" w:hAnsi="Times New Roman" w:cs="Times New Roman"/>
          <w:b/>
          <w:noProof/>
          <w:lang w:val="sq-AL"/>
        </w:rPr>
      </w:pPr>
    </w:p>
    <w:p w:rsidR="00221487" w:rsidRPr="00221487" w:rsidRDefault="00AF0159" w:rsidP="00221487">
      <w:pPr>
        <w:tabs>
          <w:tab w:val="left" w:pos="1595"/>
          <w:tab w:val="left" w:pos="2762"/>
          <w:tab w:val="left" w:pos="3530"/>
        </w:tabs>
        <w:spacing w:before="120" w:after="120"/>
        <w:ind w:right="111"/>
        <w:jc w:val="both"/>
        <w:rPr>
          <w:rFonts w:ascii="Times New Roman" w:eastAsia="MS Mincho" w:hAnsi="Times New Roman" w:cs="Times New Roman"/>
          <w:noProof/>
          <w:lang w:val="sq-AL"/>
        </w:rPr>
      </w:pPr>
      <w:r w:rsidRPr="00AF0159">
        <w:rPr>
          <w:rFonts w:ascii="Times New Roman" w:eastAsia="MS Mincho" w:hAnsi="Times New Roman" w:cs="Times New Roman"/>
          <w:noProof/>
          <w:lang w:val="sq-AL"/>
        </w:rPr>
        <w:t>ALSAI ka vazhduar të shtojë vlerë dhe cilësi në auditimet e tij, në mënyrë që të shtojë vlerë dhe të gjenerojë përfitime në forcimin e përgjegjshmërisë, transparencës dhe integritetit të qeverisë në përgjithësi dhe njësive të sektorit publik</w:t>
      </w:r>
      <w:r w:rsidR="00221487" w:rsidRPr="00221487">
        <w:rPr>
          <w:rFonts w:ascii="Times New Roman" w:eastAsia="MS Mincho" w:hAnsi="Times New Roman" w:cs="Times New Roman"/>
          <w:noProof/>
          <w:lang w:val="sq-AL"/>
        </w:rPr>
        <w:t>. Gjatë vitit 2018, KLSH-ja synonte forcimin e menaxhimit të përgjithshëm të cilësisë së auditimeve të saj, duke përfshirë të dy aspektet: kontrollin e cilësisë (KC) dhe sigurimin e cilësisë (SC).</w:t>
      </w:r>
    </w:p>
    <w:p w:rsidR="00221487" w:rsidRPr="00221487" w:rsidRDefault="00221487" w:rsidP="00221487">
      <w:pPr>
        <w:tabs>
          <w:tab w:val="left" w:pos="1595"/>
          <w:tab w:val="left" w:pos="2762"/>
          <w:tab w:val="left" w:pos="3530"/>
          <w:tab w:val="center" w:pos="4680"/>
        </w:tabs>
        <w:spacing w:before="120" w:after="120"/>
        <w:ind w:right="111"/>
        <w:jc w:val="both"/>
        <w:rPr>
          <w:rFonts w:ascii="Times New Roman" w:eastAsia="Times New Roman" w:hAnsi="Times New Roman" w:cs="Times New Roman"/>
          <w:b/>
          <w:noProof/>
          <w:lang w:val="sq-AL"/>
        </w:rPr>
      </w:pPr>
      <w:r w:rsidRPr="00221487">
        <w:rPr>
          <w:rFonts w:ascii="Times New Roman" w:eastAsia="Times New Roman" w:hAnsi="Times New Roman" w:cs="Times New Roman"/>
          <w:b/>
          <w:noProof/>
          <w:lang w:val="sq-AL"/>
        </w:rPr>
        <w:t xml:space="preserve">Kontrolli i cilësisë u konsolidua më tej </w:t>
      </w:r>
      <w:r w:rsidRPr="00221487">
        <w:rPr>
          <w:rFonts w:ascii="Times New Roman" w:eastAsia="Times New Roman" w:hAnsi="Times New Roman" w:cs="Times New Roman"/>
          <w:noProof/>
          <w:lang w:val="sq-AL"/>
        </w:rPr>
        <w:t>përmes zbatimit të rregullave dhe kërkesave të përcaktuara në Rregullimin e Procedurave të Auditimit Nr.107, datë 08.08.2017 dhe përgjegjësitë e secilës njësi të përfshirë në sigurimin e cilësisë, të përcaktuara në Rregulloren e Funksionimit Administrativ të KLSH-së Nr.85, datë 30.06.2015. Për më tepër, një vendim "Për Sigurimin e Cilësisë së Dosjeve të Auditimit" miratohet nga Kryetari i KLSH-së në fund të vitit për të kryer një rishikim të pavarur të punës së auditimit gjatë një viti më parë. Aktivitete të tilla synojnë konsolidimin dhe forcimin e strukturave dhe procedurave që rregullojnë sigurimin e cilësisë duke e konsideruar atë si pjesë të një procesi të vazhdueshëm të përmirësimit, si dhe të forcojnë ndikimin e punës së auditimit të KLSH-së në përputhje me kërkesat e ISSAI 40.</w:t>
      </w:r>
    </w:p>
    <w:p w:rsidR="00221487" w:rsidRPr="00221487" w:rsidRDefault="00221487" w:rsidP="00221487">
      <w:pPr>
        <w:tabs>
          <w:tab w:val="left" w:pos="1595"/>
          <w:tab w:val="left" w:pos="2762"/>
          <w:tab w:val="left" w:pos="3530"/>
          <w:tab w:val="center" w:pos="4680"/>
        </w:tabs>
        <w:spacing w:before="120" w:after="120"/>
        <w:ind w:right="111"/>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Në këtë kuadër, si një rezultat i projektit IPA 2013, një grupim listash kontrolli dhe udhëzimesh speciale për KC-të dhe SC-të janë zhvilluar dhe janë në faze pilotim në procedurat e auditimit të KLSH-së. Ky aktivitet po ashtu po krijon projekt-udhëzimet pilot dhe pritet të përfundojë në fund të vitit 2019. </w:t>
      </w:r>
    </w:p>
    <w:p w:rsidR="00221487" w:rsidRPr="00221487" w:rsidRDefault="00221487" w:rsidP="00221487">
      <w:pPr>
        <w:spacing w:after="0"/>
        <w:ind w:left="1"/>
        <w:jc w:val="both"/>
        <w:rPr>
          <w:rFonts w:ascii="Times New Roman" w:eastAsia="Times New Roman" w:hAnsi="Times New Roman" w:cs="Times New Roman"/>
          <w:noProof/>
          <w:lang w:val="sq-AL"/>
        </w:rPr>
      </w:pPr>
      <w:r w:rsidRPr="00221487">
        <w:rPr>
          <w:rFonts w:ascii="Times New Roman" w:eastAsia="Times New Roman" w:hAnsi="Times New Roman" w:cs="Times New Roman"/>
          <w:noProof/>
          <w:lang w:val="sq-AL"/>
        </w:rPr>
        <w:t xml:space="preserve"> </w:t>
      </w:r>
    </w:p>
    <w:p w:rsidR="00221487" w:rsidRPr="00221487" w:rsidRDefault="00221487" w:rsidP="00221487">
      <w:pPr>
        <w:spacing w:after="9"/>
        <w:jc w:val="both"/>
        <w:rPr>
          <w:rFonts w:ascii="Times New Roman" w:eastAsia="Times New Roman" w:hAnsi="Times New Roman" w:cs="Times New Roman"/>
          <w:noProof/>
          <w:lang w:val="sq-AL"/>
        </w:rPr>
      </w:pPr>
      <w:r w:rsidRPr="00221487">
        <w:rPr>
          <w:rFonts w:ascii="Times New Roman" w:eastAsia="Times New Roman" w:hAnsi="Times New Roman" w:cs="Times New Roman"/>
          <w:b/>
          <w:noProof/>
          <w:lang w:val="sq-AL"/>
        </w:rPr>
        <w:t>Masa 5: Ndryshimet manuale të auditimit për të përfshirë aktivitete për luftën kundër korrupsionit dhe mashtrimit (</w:t>
      </w:r>
      <w:r w:rsidRPr="00221487">
        <w:rPr>
          <w:rFonts w:ascii="Times New Roman" w:eastAsia="Times New Roman" w:hAnsi="Times New Roman" w:cs="Times New Roman"/>
          <w:b/>
          <w:i/>
          <w:noProof/>
          <w:lang w:val="sq-AL"/>
        </w:rPr>
        <w:t>i përmbushur</w:t>
      </w:r>
      <w:r w:rsidRPr="00221487">
        <w:rPr>
          <w:rFonts w:ascii="Times New Roman" w:eastAsia="Times New Roman" w:hAnsi="Times New Roman" w:cs="Times New Roman"/>
          <w:b/>
          <w:noProof/>
          <w:lang w:val="sq-AL"/>
        </w:rPr>
        <w:t>)</w:t>
      </w:r>
      <w:r w:rsidRPr="00221487">
        <w:rPr>
          <w:rFonts w:ascii="Times New Roman" w:eastAsia="Times New Roman" w:hAnsi="Times New Roman" w:cs="Times New Roman"/>
          <w:noProof/>
          <w:lang w:val="sq-AL"/>
        </w:rPr>
        <w:t xml:space="preserve"> </w:t>
      </w:r>
    </w:p>
    <w:p w:rsidR="00221487" w:rsidRPr="00221487" w:rsidRDefault="00221487" w:rsidP="00221487">
      <w:pPr>
        <w:spacing w:after="9"/>
        <w:jc w:val="both"/>
        <w:rPr>
          <w:rFonts w:ascii="Times New Roman" w:eastAsia="Times New Roman" w:hAnsi="Times New Roman" w:cs="Times New Roman"/>
          <w:noProof/>
          <w:lang w:val="sq-AL"/>
        </w:rPr>
      </w:pPr>
    </w:p>
    <w:p w:rsidR="00221487" w:rsidRPr="00221487" w:rsidRDefault="00221487" w:rsidP="00221487">
      <w:pPr>
        <w:widowControl w:val="0"/>
        <w:spacing w:after="0"/>
        <w:jc w:val="both"/>
        <w:rPr>
          <w:rFonts w:ascii="Times New Roman" w:eastAsia="Calibri" w:hAnsi="Times New Roman" w:cs="Times New Roman"/>
          <w:noProof/>
          <w:lang w:val="sq-AL"/>
        </w:rPr>
      </w:pPr>
      <w:r w:rsidRPr="00221487">
        <w:rPr>
          <w:rFonts w:ascii="Times New Roman" w:eastAsia="Calibri" w:hAnsi="Times New Roman" w:cs="Times New Roman"/>
          <w:noProof/>
          <w:lang w:val="sq-AL"/>
        </w:rPr>
        <w:t xml:space="preserve">Një nga aspektet më të rëndësishme të rolit të KLSH-së në luftën kundër korrupsionit është kontributi për të </w:t>
      </w:r>
      <w:r w:rsidRPr="00221487">
        <w:rPr>
          <w:rFonts w:ascii="Times New Roman" w:eastAsia="Calibri" w:hAnsi="Times New Roman" w:cs="Times New Roman"/>
          <w:noProof/>
          <w:lang w:val="sq-AL"/>
        </w:rPr>
        <w:lastRenderedPageBreak/>
        <w:t xml:space="preserve">rritur integritetin e institucioneve publike, të cilat në vetvete janë përbërës të sistemit të integritetit kombëtar. Në funksion të zbatimit të parimeve dhe standardeve themelore të INTOSAI-it për zhvillimin e një qasje të strukturuar të hartimit dhe zbatimit të politikave institucionale me integritet, KLSH-ja ka zbatuar instrumentin e vetëvlerësimit të integritetit të INTOSAI-it dhe në strategjinë e zhvillimit është parashikuar të zgjerohet kjo përvojë edhe në institucione të tjera publike. </w:t>
      </w:r>
      <w:r w:rsidRPr="00221487">
        <w:rPr>
          <w:rFonts w:ascii="Times New Roman" w:eastAsia="Calibri" w:hAnsi="Times New Roman" w:cs="Times New Roman"/>
          <w:b/>
          <w:noProof/>
          <w:lang w:val="sq-AL"/>
        </w:rPr>
        <w:t>Rishikimi i sistemit antikorrupsion/ mashtrim në Shqipëri dhe i arritjeve të KLSH-së në fushën e trajtimit të korrupsionit dhe mashtrimit është zhvilluar më tej</w:t>
      </w:r>
      <w:r w:rsidRPr="00221487">
        <w:rPr>
          <w:rFonts w:ascii="Times New Roman" w:eastAsia="Calibri" w:hAnsi="Times New Roman" w:cs="Times New Roman"/>
          <w:noProof/>
          <w:lang w:val="sq-AL"/>
        </w:rPr>
        <w:t>. Qëllimi i këtij aktiviteti ishte identifikimi i bashkëpunimit organizativ aktual shqiptar (KLSH-së me organizata të tjera) në lidhje me luftën kundër mashtrimin dhe korrupsionin, si dhe efektet e këtij bashkëpunimi.</w:t>
      </w:r>
    </w:p>
    <w:p w:rsidR="00221487" w:rsidRPr="00221487" w:rsidRDefault="00221487" w:rsidP="00221487">
      <w:pPr>
        <w:widowControl w:val="0"/>
        <w:spacing w:after="0"/>
        <w:jc w:val="both"/>
        <w:rPr>
          <w:rFonts w:ascii="Times New Roman" w:eastAsia="Calibri" w:hAnsi="Times New Roman" w:cs="Times New Roman"/>
          <w:noProof/>
          <w:lang w:val="sq-AL"/>
        </w:rPr>
      </w:pPr>
      <w:r w:rsidRPr="00221487">
        <w:rPr>
          <w:rFonts w:ascii="Times New Roman" w:eastAsia="Calibri" w:hAnsi="Times New Roman" w:cs="Times New Roman"/>
          <w:noProof/>
          <w:lang w:val="sq-AL"/>
        </w:rPr>
        <w:t xml:space="preserve">Për të theksuar rolin e sistemit të kontrollit të menaxhimit në luftën kundër korrupsionit dhe mashtrimit, brenda agjencive publike, janë zhvilluar trajnime të ndryshme. Bashkëpunimi organizativ i KLSH-së u rishikua dhe u hartua një raport i brendshëm në të cilin janë paraqitur të gjitha sfidat/ kufizimet. </w:t>
      </w:r>
      <w:r w:rsidR="00CB6D06" w:rsidRPr="00CB6D06">
        <w:rPr>
          <w:rFonts w:ascii="Times New Roman" w:eastAsia="Calibri" w:hAnsi="Times New Roman" w:cs="Times New Roman"/>
          <w:noProof/>
          <w:lang w:val="sq-AL"/>
        </w:rPr>
        <w:t>Analiza përfshiu fusheveprimin e plotë të kontrollit të KLSH dhe u krye plotësisht. Materiali trajnues u zhvillua dhe u përshtat me kontekstin e institucioneve shqiptare dhe përveç kësaj u zhvillua një kurs praktik tre-ditor</w:t>
      </w:r>
      <w:r w:rsidRPr="00221487">
        <w:rPr>
          <w:rFonts w:ascii="Times New Roman" w:eastAsia="Calibri" w:hAnsi="Times New Roman" w:cs="Times New Roman"/>
          <w:noProof/>
          <w:lang w:val="sq-AL"/>
        </w:rPr>
        <w:t xml:space="preserve">. </w:t>
      </w:r>
    </w:p>
    <w:p w:rsidR="00221487" w:rsidRPr="00221487" w:rsidRDefault="00221487" w:rsidP="00221487">
      <w:pPr>
        <w:widowControl w:val="0"/>
        <w:spacing w:after="0"/>
        <w:jc w:val="both"/>
        <w:rPr>
          <w:rFonts w:ascii="Times New Roman" w:eastAsia="Calibri" w:hAnsi="Times New Roman" w:cs="Times New Roman"/>
          <w:noProof/>
          <w:lang w:val="sq-AL"/>
        </w:rPr>
      </w:pPr>
      <w:r w:rsidRPr="00221487">
        <w:rPr>
          <w:rFonts w:ascii="Times New Roman" w:eastAsia="Calibri" w:hAnsi="Times New Roman" w:cs="Times New Roman"/>
          <w:noProof/>
          <w:lang w:val="sq-AL"/>
        </w:rPr>
        <w:t>Lidhur me rëndësinë dhe rolin e KLSH-së në trajtimin dhe luftën kundër korrupsionit dhe mashtrimit, ekspertët e IPA-s organizuan trajnime për audituesit që mbulojnë temat e mëposhtme:</w:t>
      </w:r>
    </w:p>
    <w:p w:rsidR="00221487" w:rsidRPr="00221487" w:rsidRDefault="00221487" w:rsidP="007C6F79">
      <w:pPr>
        <w:widowControl w:val="0"/>
        <w:numPr>
          <w:ilvl w:val="0"/>
          <w:numId w:val="39"/>
        </w:numPr>
        <w:spacing w:after="0" w:line="240" w:lineRule="auto"/>
        <w:contextualSpacing/>
        <w:jc w:val="both"/>
        <w:rPr>
          <w:rFonts w:ascii="Times New Roman" w:eastAsia="Calibri" w:hAnsi="Times New Roman" w:cs="Times New Roman"/>
          <w:noProof/>
          <w:lang w:val="sq-AL"/>
        </w:rPr>
      </w:pPr>
      <w:r w:rsidRPr="00221487">
        <w:rPr>
          <w:rFonts w:ascii="Times New Roman" w:eastAsia="Calibri" w:hAnsi="Times New Roman" w:cs="Times New Roman"/>
          <w:noProof/>
          <w:lang w:val="sq-AL"/>
        </w:rPr>
        <w:t>Forcimi i ndërgjegjësimit të stafit të KLSH-së;</w:t>
      </w:r>
    </w:p>
    <w:p w:rsidR="00221487" w:rsidRPr="00221487" w:rsidRDefault="00221487" w:rsidP="007C6F79">
      <w:pPr>
        <w:widowControl w:val="0"/>
        <w:numPr>
          <w:ilvl w:val="0"/>
          <w:numId w:val="39"/>
        </w:numPr>
        <w:spacing w:after="0" w:line="240" w:lineRule="auto"/>
        <w:contextualSpacing/>
        <w:jc w:val="both"/>
        <w:rPr>
          <w:rFonts w:ascii="Times New Roman" w:eastAsia="Calibri" w:hAnsi="Times New Roman" w:cs="Times New Roman"/>
          <w:noProof/>
          <w:lang w:val="sq-AL"/>
        </w:rPr>
      </w:pPr>
      <w:r w:rsidRPr="00221487">
        <w:rPr>
          <w:rFonts w:ascii="Times New Roman" w:eastAsia="Calibri" w:hAnsi="Times New Roman" w:cs="Times New Roman"/>
          <w:noProof/>
          <w:lang w:val="sq-AL"/>
        </w:rPr>
        <w:t>Një qasje e bazuar në risqet ndaj planifikimit kundër mashtrimit dhe anti-korrupsionit;</w:t>
      </w:r>
    </w:p>
    <w:p w:rsidR="00221487" w:rsidRPr="00221487" w:rsidRDefault="00221487" w:rsidP="007C6F79">
      <w:pPr>
        <w:widowControl w:val="0"/>
        <w:numPr>
          <w:ilvl w:val="0"/>
          <w:numId w:val="39"/>
        </w:numPr>
        <w:spacing w:after="0" w:line="240" w:lineRule="auto"/>
        <w:contextualSpacing/>
        <w:jc w:val="both"/>
        <w:rPr>
          <w:rFonts w:ascii="Times New Roman" w:eastAsia="Calibri" w:hAnsi="Times New Roman" w:cs="Times New Roman"/>
          <w:noProof/>
          <w:lang w:val="sq-AL"/>
        </w:rPr>
      </w:pPr>
      <w:r w:rsidRPr="00221487">
        <w:rPr>
          <w:rFonts w:ascii="Times New Roman" w:eastAsia="Calibri" w:hAnsi="Times New Roman" w:cs="Times New Roman"/>
          <w:noProof/>
          <w:lang w:val="sq-AL"/>
        </w:rPr>
        <w:t>Planifikimi kundra mashtrimit dhe antikorrupsionit, duke përfshirë vetëvlerësimin e integritetit në organizatat publike;</w:t>
      </w:r>
    </w:p>
    <w:p w:rsidR="00221487" w:rsidRPr="00221487" w:rsidRDefault="00221487" w:rsidP="007C6F79">
      <w:pPr>
        <w:widowControl w:val="0"/>
        <w:numPr>
          <w:ilvl w:val="0"/>
          <w:numId w:val="39"/>
        </w:numPr>
        <w:spacing w:after="0" w:line="240" w:lineRule="auto"/>
        <w:contextualSpacing/>
        <w:jc w:val="both"/>
        <w:rPr>
          <w:rFonts w:ascii="Times New Roman" w:eastAsia="Calibri" w:hAnsi="Times New Roman" w:cs="Times New Roman"/>
          <w:noProof/>
          <w:lang w:val="sq-AL"/>
        </w:rPr>
      </w:pPr>
      <w:r w:rsidRPr="00221487">
        <w:rPr>
          <w:rFonts w:ascii="Times New Roman" w:eastAsia="Calibri" w:hAnsi="Times New Roman" w:cs="Times New Roman"/>
          <w:noProof/>
          <w:lang w:val="sq-AL"/>
        </w:rPr>
        <w:t>Metodat e mbledhjes dhe analizimit të provave të mashtrimit dhe praktikave korruptive.</w:t>
      </w:r>
    </w:p>
    <w:p w:rsidR="00221487" w:rsidRPr="00221487" w:rsidRDefault="00221487" w:rsidP="00221487">
      <w:pPr>
        <w:spacing w:after="0"/>
        <w:jc w:val="both"/>
        <w:rPr>
          <w:rFonts w:ascii="Times New Roman" w:eastAsia="Calibri" w:hAnsi="Times New Roman" w:cs="Times New Roman"/>
          <w:noProof/>
          <w:lang w:val="sq-AL"/>
        </w:rPr>
      </w:pPr>
      <w:r w:rsidRPr="00221487">
        <w:rPr>
          <w:rFonts w:ascii="Times New Roman" w:eastAsia="Calibri" w:hAnsi="Times New Roman" w:cs="Times New Roman"/>
          <w:b/>
          <w:noProof/>
          <w:lang w:val="sq-AL"/>
        </w:rPr>
        <w:t xml:space="preserve">Manuali për Auditimin e Mashtrimit dhe Korrupsionit të zhvilluar në bashkëpunim me ekspertë të KLSH-së të Polonisë është aprovuar me vendimin e Kryetarit të KLSH nr.70, datë 30.06.2018. </w:t>
      </w:r>
      <w:r w:rsidRPr="00221487">
        <w:rPr>
          <w:rFonts w:ascii="Times New Roman" w:eastAsia="Calibri" w:hAnsi="Times New Roman" w:cs="Times New Roman"/>
          <w:noProof/>
          <w:lang w:val="sq-AL"/>
        </w:rPr>
        <w:t>Trajnimet në bazë të këtij Manuali shpërndahen përmes programeve të trajnimit gjatë muajve gushtit dhe nëntorit për të gjithë audituesët dhe është pjesë hyrëse e paketës së trajnimit "Hyrje në veprimtarinë e KLSH-së dhe auditimin publik" që është dorëzuar për të gjithë audituesët e rinj të rekrutuar.</w:t>
      </w:r>
    </w:p>
    <w:p w:rsidR="00221487" w:rsidRPr="00221487" w:rsidRDefault="00221487" w:rsidP="00221487">
      <w:pPr>
        <w:spacing w:after="0"/>
        <w:jc w:val="both"/>
        <w:rPr>
          <w:rFonts w:ascii="Times New Roman" w:eastAsia="Calibri" w:hAnsi="Times New Roman" w:cs="Times New Roman"/>
          <w:noProof/>
          <w:lang w:val="sq-AL"/>
        </w:rPr>
      </w:pPr>
      <w:r w:rsidRPr="00221487">
        <w:rPr>
          <w:rFonts w:ascii="Times New Roman" w:eastAsia="Calibri" w:hAnsi="Times New Roman" w:cs="Times New Roman"/>
          <w:noProof/>
          <w:lang w:val="sq-AL"/>
        </w:rPr>
        <w:t xml:space="preserve">KLSH-ja ka nisur përmirësime ligjore, si dhe ka dorëzuar një propozim për projektligjin "Për përgjegjësinë menaxheriale të nëpunësve publik" pranë Qeverisë shqiptare për miratim. KLSH-ja ka ndërmarrë veprime dhe ka rekomanduar masa korrigjuese dhe ndëshkuese për çdo rast të identifikuar mashtrimi financiar dhe korrupsioni, duke synuar luftimin e fenomenit të korrupsionit në rrënjën e sistemit, në vend që të përfaqësojë raste individuale sporadike. </w:t>
      </w:r>
    </w:p>
    <w:p w:rsidR="00221487" w:rsidRPr="00221487" w:rsidRDefault="00221487" w:rsidP="00221487">
      <w:pPr>
        <w:spacing w:after="0"/>
        <w:jc w:val="both"/>
        <w:rPr>
          <w:rFonts w:ascii="Times New Roman" w:eastAsia="Calibri" w:hAnsi="Times New Roman" w:cs="Times New Roman"/>
          <w:b/>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8F76C6">
      <w:pPr>
        <w:keepNext/>
        <w:spacing w:after="0" w:line="240" w:lineRule="auto"/>
        <w:jc w:val="both"/>
        <w:outlineLvl w:val="0"/>
        <w:rPr>
          <w:rFonts w:ascii="Times New Roman Bold" w:eastAsia="Times" w:hAnsi="Times New Roman Bold" w:cs="Times New Roman"/>
          <w:b/>
          <w:bCs/>
          <w:noProof/>
          <w:color w:val="632423" w:themeColor="accent2" w:themeShade="80"/>
          <w:lang w:val="sq-AL"/>
        </w:rPr>
      </w:pPr>
      <w:bookmarkStart w:id="85" w:name="_Toc511836611"/>
      <w:bookmarkStart w:id="86" w:name="_Toc3984492"/>
    </w:p>
    <w:p w:rsidR="00221487" w:rsidRPr="00221487" w:rsidRDefault="00221487" w:rsidP="00221487">
      <w:pPr>
        <w:keepNext/>
        <w:spacing w:after="0" w:line="240" w:lineRule="auto"/>
        <w:ind w:left="360"/>
        <w:jc w:val="both"/>
        <w:outlineLvl w:val="0"/>
        <w:rPr>
          <w:rFonts w:ascii="Times New Roman Bold" w:eastAsia="Times" w:hAnsi="Times New Roman Bold" w:cs="Times New Roman"/>
          <w:b/>
          <w:bCs/>
          <w:noProof/>
          <w:color w:val="632423" w:themeColor="accent2" w:themeShade="80"/>
          <w:lang w:val="sq-AL"/>
        </w:rPr>
      </w:pPr>
      <w:r w:rsidRPr="00221487">
        <w:rPr>
          <w:rFonts w:ascii="Times New Roman Bold" w:eastAsia="Times" w:hAnsi="Times New Roman Bold" w:cs="Times New Roman"/>
          <w:b/>
          <w:bCs/>
          <w:noProof/>
          <w:color w:val="632423" w:themeColor="accent2" w:themeShade="80"/>
          <w:lang w:val="sq-AL"/>
        </w:rPr>
        <w:t>AN</w:t>
      </w:r>
      <w:bookmarkStart w:id="87" w:name="_Toc511382648"/>
      <w:bookmarkEnd w:id="85"/>
      <w:bookmarkEnd w:id="86"/>
      <w:r w:rsidR="008F76C6">
        <w:rPr>
          <w:rFonts w:ascii="Times New Roman Bold" w:eastAsia="Times" w:hAnsi="Times New Roman Bold" w:cs="Times New Roman"/>
          <w:b/>
          <w:bCs/>
          <w:noProof/>
          <w:color w:val="632423" w:themeColor="accent2" w:themeShade="80"/>
          <w:lang w:val="sq-AL"/>
        </w:rPr>
        <w:t>EKSE</w:t>
      </w: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ind w:left="-540"/>
        <w:jc w:val="both"/>
        <w:rPr>
          <w:rFonts w:ascii="Times New Roman" w:eastAsia="Times New Roman" w:hAnsi="Times New Roman" w:cs="Times New Roman"/>
          <w:noProof/>
          <w:lang w:val="sq-AL"/>
        </w:rPr>
      </w:pPr>
    </w:p>
    <w:p w:rsidR="00221487" w:rsidRPr="00221487" w:rsidRDefault="00221487" w:rsidP="00221487">
      <w:pPr>
        <w:spacing w:after="0" w:line="240" w:lineRule="auto"/>
        <w:ind w:left="-540"/>
        <w:jc w:val="both"/>
        <w:rPr>
          <w:rFonts w:ascii="Times New Roman" w:eastAsia="Times New Roman" w:hAnsi="Times New Roman" w:cs="Times New Roman"/>
          <w:noProof/>
          <w:lang w:val="sq-AL"/>
        </w:rPr>
      </w:pPr>
    </w:p>
    <w:p w:rsidR="00221487" w:rsidRPr="00221487" w:rsidRDefault="00221487" w:rsidP="00221487">
      <w:pPr>
        <w:spacing w:after="0" w:line="240" w:lineRule="auto"/>
        <w:ind w:left="-540"/>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ind w:left="-720"/>
        <w:jc w:val="both"/>
        <w:rPr>
          <w:rFonts w:ascii="Times New Roman" w:eastAsia="Times New Roman" w:hAnsi="Times New Roman" w:cs="Times New Roman"/>
          <w:noProof/>
          <w:lang w:val="sq-AL"/>
        </w:rPr>
      </w:pPr>
    </w:p>
    <w:p w:rsidR="00221487" w:rsidRDefault="00221487" w:rsidP="00221487">
      <w:pPr>
        <w:spacing w:after="0" w:line="240" w:lineRule="auto"/>
        <w:ind w:left="-900"/>
        <w:jc w:val="both"/>
        <w:rPr>
          <w:rFonts w:ascii="Times New Roman" w:eastAsia="Times New Roman" w:hAnsi="Times New Roman" w:cs="Times New Roman"/>
          <w:noProof/>
          <w:lang w:val="sq-AL"/>
        </w:rPr>
      </w:pPr>
    </w:p>
    <w:p w:rsidR="00235E97" w:rsidRDefault="00235E97" w:rsidP="00221487">
      <w:pPr>
        <w:spacing w:after="0" w:line="240" w:lineRule="auto"/>
        <w:ind w:left="-900"/>
        <w:jc w:val="both"/>
        <w:rPr>
          <w:rFonts w:ascii="Times New Roman" w:eastAsia="Times New Roman" w:hAnsi="Times New Roman" w:cs="Times New Roman"/>
          <w:noProof/>
          <w:lang w:val="sq-AL"/>
        </w:rPr>
      </w:pPr>
    </w:p>
    <w:p w:rsidR="00235E97" w:rsidRDefault="00235E97" w:rsidP="00221487">
      <w:pPr>
        <w:spacing w:after="0" w:line="240" w:lineRule="auto"/>
        <w:ind w:left="-900"/>
        <w:jc w:val="both"/>
        <w:rPr>
          <w:rFonts w:ascii="Times New Roman" w:eastAsia="Times New Roman" w:hAnsi="Times New Roman" w:cs="Times New Roman"/>
          <w:noProof/>
          <w:lang w:val="sq-AL"/>
        </w:rPr>
      </w:pPr>
    </w:p>
    <w:p w:rsidR="00235E97" w:rsidRDefault="00235E97" w:rsidP="00221487">
      <w:pPr>
        <w:spacing w:after="0" w:line="240" w:lineRule="auto"/>
        <w:ind w:left="-900"/>
        <w:jc w:val="both"/>
        <w:rPr>
          <w:rFonts w:ascii="Times New Roman" w:eastAsia="Times New Roman" w:hAnsi="Times New Roman" w:cs="Times New Roman"/>
          <w:noProof/>
          <w:lang w:val="sq-AL"/>
        </w:rPr>
      </w:pPr>
    </w:p>
    <w:p w:rsidR="00235E97" w:rsidRDefault="00235E97" w:rsidP="00221487">
      <w:pPr>
        <w:spacing w:after="0" w:line="240" w:lineRule="auto"/>
        <w:ind w:left="-900"/>
        <w:jc w:val="both"/>
        <w:rPr>
          <w:rFonts w:ascii="Times New Roman" w:eastAsia="Times New Roman" w:hAnsi="Times New Roman" w:cs="Times New Roman"/>
          <w:noProof/>
          <w:lang w:val="sq-AL"/>
        </w:rPr>
      </w:pPr>
    </w:p>
    <w:p w:rsidR="00235E97" w:rsidRDefault="00235E97" w:rsidP="00221487">
      <w:pPr>
        <w:spacing w:after="0" w:line="240" w:lineRule="auto"/>
        <w:ind w:left="-900"/>
        <w:jc w:val="both"/>
        <w:rPr>
          <w:rFonts w:ascii="Times New Roman" w:eastAsia="Times New Roman" w:hAnsi="Times New Roman" w:cs="Times New Roman"/>
          <w:noProof/>
          <w:lang w:val="sq-AL"/>
        </w:rPr>
      </w:pPr>
    </w:p>
    <w:p w:rsidR="00235E97" w:rsidRDefault="00235E97" w:rsidP="00221487">
      <w:pPr>
        <w:spacing w:after="0" w:line="240" w:lineRule="auto"/>
        <w:ind w:left="-900"/>
        <w:jc w:val="both"/>
        <w:rPr>
          <w:rFonts w:ascii="Times New Roman" w:eastAsia="Times New Roman" w:hAnsi="Times New Roman" w:cs="Times New Roman"/>
          <w:noProof/>
          <w:lang w:val="sq-AL"/>
        </w:rPr>
      </w:pPr>
    </w:p>
    <w:p w:rsidR="00235E97" w:rsidRDefault="00235E97" w:rsidP="00221487">
      <w:pPr>
        <w:spacing w:after="0" w:line="240" w:lineRule="auto"/>
        <w:ind w:left="-900"/>
        <w:jc w:val="both"/>
        <w:rPr>
          <w:rFonts w:ascii="Times New Roman" w:eastAsia="Times New Roman" w:hAnsi="Times New Roman" w:cs="Times New Roman"/>
          <w:noProof/>
          <w:lang w:val="sq-AL"/>
        </w:rPr>
      </w:pPr>
    </w:p>
    <w:p w:rsidR="00235E97" w:rsidRDefault="00235E97" w:rsidP="00221487">
      <w:pPr>
        <w:spacing w:after="0" w:line="240" w:lineRule="auto"/>
        <w:ind w:left="-900"/>
        <w:jc w:val="both"/>
        <w:rPr>
          <w:rFonts w:ascii="Times New Roman" w:eastAsia="Times New Roman" w:hAnsi="Times New Roman" w:cs="Times New Roman"/>
          <w:noProof/>
          <w:lang w:val="sq-AL"/>
        </w:rPr>
      </w:pPr>
    </w:p>
    <w:p w:rsidR="00235E97" w:rsidRDefault="00235E97" w:rsidP="00221487">
      <w:pPr>
        <w:spacing w:after="0" w:line="240" w:lineRule="auto"/>
        <w:ind w:left="-900"/>
        <w:jc w:val="both"/>
        <w:rPr>
          <w:rFonts w:ascii="Times New Roman" w:eastAsia="Times New Roman" w:hAnsi="Times New Roman" w:cs="Times New Roman"/>
          <w:noProof/>
          <w:lang w:val="sq-AL"/>
        </w:rPr>
      </w:pPr>
    </w:p>
    <w:p w:rsidR="00235E97" w:rsidRDefault="00235E97" w:rsidP="00221487">
      <w:pPr>
        <w:spacing w:after="0" w:line="240" w:lineRule="auto"/>
        <w:ind w:left="-900"/>
        <w:jc w:val="both"/>
        <w:rPr>
          <w:rFonts w:ascii="Times New Roman" w:eastAsia="Times New Roman" w:hAnsi="Times New Roman" w:cs="Times New Roman"/>
          <w:noProof/>
          <w:lang w:val="sq-AL"/>
        </w:rPr>
      </w:pPr>
    </w:p>
    <w:p w:rsidR="00235E97" w:rsidRDefault="00235E97" w:rsidP="00221487">
      <w:pPr>
        <w:spacing w:after="0" w:line="240" w:lineRule="auto"/>
        <w:ind w:left="-900"/>
        <w:jc w:val="both"/>
        <w:rPr>
          <w:rFonts w:ascii="Times New Roman" w:eastAsia="Times New Roman" w:hAnsi="Times New Roman" w:cs="Times New Roman"/>
          <w:noProof/>
          <w:lang w:val="sq-AL"/>
        </w:rPr>
      </w:pPr>
    </w:p>
    <w:p w:rsidR="00235E97" w:rsidRDefault="00235E97" w:rsidP="00221487">
      <w:pPr>
        <w:spacing w:after="0" w:line="240" w:lineRule="auto"/>
        <w:ind w:left="-900"/>
        <w:jc w:val="both"/>
        <w:rPr>
          <w:rFonts w:ascii="Times New Roman" w:eastAsia="Times New Roman" w:hAnsi="Times New Roman" w:cs="Times New Roman"/>
          <w:noProof/>
          <w:lang w:val="sq-AL"/>
        </w:rPr>
      </w:pPr>
    </w:p>
    <w:p w:rsidR="00235E97" w:rsidRDefault="00235E97" w:rsidP="00221487">
      <w:pPr>
        <w:spacing w:after="0" w:line="240" w:lineRule="auto"/>
        <w:ind w:left="-900"/>
        <w:jc w:val="both"/>
        <w:rPr>
          <w:rFonts w:ascii="Times New Roman" w:eastAsia="Times New Roman" w:hAnsi="Times New Roman" w:cs="Times New Roman"/>
          <w:noProof/>
          <w:lang w:val="sq-AL"/>
        </w:rPr>
      </w:pPr>
    </w:p>
    <w:p w:rsidR="00235E97" w:rsidRDefault="00235E97" w:rsidP="00221487">
      <w:pPr>
        <w:spacing w:after="0" w:line="240" w:lineRule="auto"/>
        <w:ind w:left="-900"/>
        <w:jc w:val="both"/>
        <w:rPr>
          <w:rFonts w:ascii="Times New Roman" w:eastAsia="Times New Roman" w:hAnsi="Times New Roman" w:cs="Times New Roman"/>
          <w:noProof/>
          <w:lang w:val="sq-AL"/>
        </w:rPr>
      </w:pPr>
    </w:p>
    <w:p w:rsidR="00235E97" w:rsidRDefault="00235E97" w:rsidP="00221487">
      <w:pPr>
        <w:spacing w:after="0" w:line="240" w:lineRule="auto"/>
        <w:ind w:left="-900"/>
        <w:jc w:val="both"/>
        <w:rPr>
          <w:rFonts w:ascii="Times New Roman" w:eastAsia="Times New Roman" w:hAnsi="Times New Roman" w:cs="Times New Roman"/>
          <w:noProof/>
          <w:lang w:val="sq-AL"/>
        </w:rPr>
      </w:pPr>
    </w:p>
    <w:p w:rsidR="00235E97" w:rsidRDefault="00235E97" w:rsidP="00221487">
      <w:pPr>
        <w:spacing w:after="0" w:line="240" w:lineRule="auto"/>
        <w:ind w:left="-900"/>
        <w:jc w:val="both"/>
        <w:rPr>
          <w:rFonts w:ascii="Times New Roman" w:eastAsia="Times New Roman" w:hAnsi="Times New Roman" w:cs="Times New Roman"/>
          <w:noProof/>
          <w:lang w:val="sq-AL"/>
        </w:rPr>
      </w:pPr>
    </w:p>
    <w:p w:rsidR="00235E97" w:rsidRDefault="00235E97" w:rsidP="00221487">
      <w:pPr>
        <w:spacing w:after="0" w:line="240" w:lineRule="auto"/>
        <w:ind w:left="-900"/>
        <w:jc w:val="both"/>
        <w:rPr>
          <w:rFonts w:ascii="Times New Roman" w:eastAsia="Times New Roman" w:hAnsi="Times New Roman" w:cs="Times New Roman"/>
          <w:noProof/>
          <w:lang w:val="sq-AL"/>
        </w:rPr>
      </w:pPr>
    </w:p>
    <w:p w:rsidR="00235E97" w:rsidRDefault="00235E97" w:rsidP="00221487">
      <w:pPr>
        <w:spacing w:after="0" w:line="240" w:lineRule="auto"/>
        <w:ind w:left="-900"/>
        <w:jc w:val="both"/>
        <w:rPr>
          <w:rFonts w:ascii="Times New Roman" w:eastAsia="Times New Roman" w:hAnsi="Times New Roman" w:cs="Times New Roman"/>
          <w:noProof/>
          <w:lang w:val="sq-AL"/>
        </w:rPr>
      </w:pPr>
    </w:p>
    <w:p w:rsidR="00235E97" w:rsidRDefault="00235E97" w:rsidP="00221487">
      <w:pPr>
        <w:spacing w:after="0" w:line="240" w:lineRule="auto"/>
        <w:ind w:left="-900"/>
        <w:jc w:val="both"/>
        <w:rPr>
          <w:rFonts w:ascii="Times New Roman" w:eastAsia="Times New Roman" w:hAnsi="Times New Roman" w:cs="Times New Roman"/>
          <w:noProof/>
          <w:lang w:val="sq-AL"/>
        </w:rPr>
      </w:pPr>
    </w:p>
    <w:p w:rsidR="00235E97" w:rsidRDefault="00235E97" w:rsidP="00221487">
      <w:pPr>
        <w:spacing w:after="0" w:line="240" w:lineRule="auto"/>
        <w:ind w:left="-900"/>
        <w:jc w:val="both"/>
        <w:rPr>
          <w:rFonts w:ascii="Times New Roman" w:eastAsia="Times New Roman" w:hAnsi="Times New Roman" w:cs="Times New Roman"/>
          <w:noProof/>
          <w:lang w:val="sq-AL"/>
        </w:rPr>
      </w:pPr>
    </w:p>
    <w:p w:rsidR="00235E97" w:rsidRDefault="00235E97" w:rsidP="00221487">
      <w:pPr>
        <w:spacing w:after="0" w:line="240" w:lineRule="auto"/>
        <w:ind w:left="-900"/>
        <w:jc w:val="both"/>
        <w:rPr>
          <w:rFonts w:ascii="Times New Roman" w:eastAsia="Times New Roman" w:hAnsi="Times New Roman" w:cs="Times New Roman"/>
          <w:noProof/>
          <w:lang w:val="sq-AL"/>
        </w:rPr>
      </w:pPr>
    </w:p>
    <w:p w:rsidR="00235E97" w:rsidRDefault="00235E97" w:rsidP="00221487">
      <w:pPr>
        <w:spacing w:after="0" w:line="240" w:lineRule="auto"/>
        <w:ind w:left="-900"/>
        <w:jc w:val="both"/>
        <w:rPr>
          <w:rFonts w:ascii="Times New Roman" w:eastAsia="Times New Roman" w:hAnsi="Times New Roman" w:cs="Times New Roman"/>
          <w:noProof/>
          <w:lang w:val="sq-AL"/>
        </w:rPr>
      </w:pPr>
    </w:p>
    <w:p w:rsidR="00235E97" w:rsidRDefault="00235E97" w:rsidP="00221487">
      <w:pPr>
        <w:spacing w:after="0" w:line="240" w:lineRule="auto"/>
        <w:ind w:left="-900"/>
        <w:jc w:val="both"/>
        <w:rPr>
          <w:rFonts w:ascii="Times New Roman" w:eastAsia="Times New Roman" w:hAnsi="Times New Roman" w:cs="Times New Roman"/>
          <w:noProof/>
          <w:lang w:val="sq-AL"/>
        </w:rPr>
      </w:pPr>
    </w:p>
    <w:p w:rsidR="00732295" w:rsidRDefault="00732295" w:rsidP="00221487">
      <w:pPr>
        <w:spacing w:after="0" w:line="240" w:lineRule="auto"/>
        <w:ind w:left="-900"/>
        <w:jc w:val="both"/>
        <w:rPr>
          <w:rFonts w:ascii="Times New Roman" w:eastAsia="Times New Roman" w:hAnsi="Times New Roman" w:cs="Times New Roman"/>
          <w:noProof/>
          <w:lang w:val="sq-AL"/>
        </w:rPr>
      </w:pPr>
      <w:r w:rsidRPr="00732295">
        <w:rPr>
          <w:noProof/>
        </w:rPr>
        <w:lastRenderedPageBreak/>
        <w:drawing>
          <wp:inline distT="0" distB="0" distL="0" distR="0" wp14:anchorId="7259DD17" wp14:editId="7C83B5DC">
            <wp:extent cx="6229350" cy="6255083"/>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29350" cy="6255083"/>
                    </a:xfrm>
                    <a:prstGeom prst="rect">
                      <a:avLst/>
                    </a:prstGeom>
                    <a:noFill/>
                    <a:ln>
                      <a:noFill/>
                    </a:ln>
                  </pic:spPr>
                </pic:pic>
              </a:graphicData>
            </a:graphic>
          </wp:inline>
        </w:drawing>
      </w:r>
    </w:p>
    <w:p w:rsidR="00732295" w:rsidRDefault="00732295" w:rsidP="00732295">
      <w:pPr>
        <w:rPr>
          <w:rFonts w:ascii="Times New Roman" w:eastAsia="Times New Roman" w:hAnsi="Times New Roman" w:cs="Times New Roman"/>
          <w:lang w:val="sq-AL"/>
        </w:rPr>
      </w:pPr>
    </w:p>
    <w:p w:rsidR="00732295" w:rsidRDefault="00732295" w:rsidP="00732295">
      <w:pPr>
        <w:tabs>
          <w:tab w:val="left" w:pos="1102"/>
        </w:tabs>
        <w:rPr>
          <w:rFonts w:ascii="Times New Roman" w:eastAsia="Times New Roman" w:hAnsi="Times New Roman" w:cs="Times New Roman"/>
          <w:lang w:val="sq-AL"/>
        </w:rPr>
      </w:pPr>
      <w:r>
        <w:rPr>
          <w:rFonts w:ascii="Times New Roman" w:eastAsia="Times New Roman" w:hAnsi="Times New Roman" w:cs="Times New Roman"/>
          <w:lang w:val="sq-AL"/>
        </w:rPr>
        <w:tab/>
      </w:r>
    </w:p>
    <w:p w:rsidR="00732295" w:rsidRDefault="00732295" w:rsidP="00732295">
      <w:pPr>
        <w:tabs>
          <w:tab w:val="left" w:pos="1102"/>
        </w:tabs>
        <w:rPr>
          <w:rFonts w:ascii="Times New Roman" w:eastAsia="Times New Roman" w:hAnsi="Times New Roman" w:cs="Times New Roman"/>
          <w:lang w:val="sq-AL"/>
        </w:rPr>
      </w:pPr>
    </w:p>
    <w:p w:rsidR="00732295" w:rsidRDefault="00732295" w:rsidP="00732295">
      <w:pPr>
        <w:tabs>
          <w:tab w:val="left" w:pos="1102"/>
        </w:tabs>
        <w:rPr>
          <w:rFonts w:ascii="Times New Roman" w:eastAsia="Times New Roman" w:hAnsi="Times New Roman" w:cs="Times New Roman"/>
          <w:lang w:val="sq-AL"/>
        </w:rPr>
      </w:pPr>
    </w:p>
    <w:p w:rsidR="00732295" w:rsidRDefault="00732295" w:rsidP="00732295">
      <w:pPr>
        <w:tabs>
          <w:tab w:val="left" w:pos="1102"/>
        </w:tabs>
        <w:rPr>
          <w:rFonts w:ascii="Times New Roman" w:eastAsia="Times New Roman" w:hAnsi="Times New Roman" w:cs="Times New Roman"/>
          <w:lang w:val="sq-AL"/>
        </w:rPr>
      </w:pPr>
    </w:p>
    <w:p w:rsidR="00732295" w:rsidRDefault="00732295" w:rsidP="00732295">
      <w:pPr>
        <w:tabs>
          <w:tab w:val="left" w:pos="1102"/>
        </w:tabs>
        <w:rPr>
          <w:rFonts w:ascii="Times New Roman" w:eastAsia="Times New Roman" w:hAnsi="Times New Roman" w:cs="Times New Roman"/>
          <w:lang w:val="sq-AL"/>
        </w:rPr>
      </w:pPr>
    </w:p>
    <w:p w:rsidR="00732295" w:rsidRDefault="00E33FB0" w:rsidP="00732295">
      <w:pPr>
        <w:tabs>
          <w:tab w:val="left" w:pos="1102"/>
        </w:tabs>
        <w:rPr>
          <w:rFonts w:ascii="Times New Roman" w:eastAsia="Times New Roman" w:hAnsi="Times New Roman" w:cs="Times New Roman"/>
          <w:lang w:val="sq-AL"/>
        </w:rPr>
      </w:pPr>
      <w:r w:rsidRPr="00E33FB0">
        <w:rPr>
          <w:noProof/>
        </w:rPr>
        <w:lastRenderedPageBreak/>
        <w:drawing>
          <wp:inline distT="0" distB="0" distL="0" distR="0" wp14:anchorId="63E4C629" wp14:editId="5A92FBDE">
            <wp:extent cx="6228715" cy="8325016"/>
            <wp:effectExtent l="0" t="0" r="63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232131" cy="8329581"/>
                    </a:xfrm>
                    <a:prstGeom prst="rect">
                      <a:avLst/>
                    </a:prstGeom>
                    <a:noFill/>
                    <a:ln>
                      <a:noFill/>
                    </a:ln>
                  </pic:spPr>
                </pic:pic>
              </a:graphicData>
            </a:graphic>
          </wp:inline>
        </w:drawing>
      </w:r>
    </w:p>
    <w:p w:rsidR="00235E97" w:rsidRPr="00732295" w:rsidRDefault="00DD0532" w:rsidP="00732295">
      <w:pPr>
        <w:tabs>
          <w:tab w:val="left" w:pos="1102"/>
        </w:tabs>
        <w:rPr>
          <w:rFonts w:ascii="Times New Roman" w:eastAsia="Times New Roman" w:hAnsi="Times New Roman" w:cs="Times New Roman"/>
          <w:lang w:val="sq-AL"/>
        </w:rPr>
        <w:sectPr w:rsidR="00235E97" w:rsidRPr="00732295" w:rsidSect="004342D7">
          <w:headerReference w:type="default" r:id="rId21"/>
          <w:footerReference w:type="default" r:id="rId22"/>
          <w:footnotePr>
            <w:numRestart w:val="eachSect"/>
          </w:footnotePr>
          <w:pgSz w:w="12240" w:h="15840" w:code="1"/>
          <w:pgMar w:top="360" w:right="1260" w:bottom="1170" w:left="1170" w:header="720" w:footer="720" w:gutter="0"/>
          <w:pgNumType w:start="0"/>
          <w:cols w:space="720"/>
          <w:titlePg/>
          <w:docGrid w:linePitch="326"/>
        </w:sectPr>
      </w:pPr>
      <w:r w:rsidRPr="00DD0532">
        <w:rPr>
          <w:noProof/>
        </w:rPr>
        <w:lastRenderedPageBreak/>
        <w:drawing>
          <wp:inline distT="0" distB="0" distL="0" distR="0" wp14:anchorId="53D55FD8" wp14:editId="3BCAC666">
            <wp:extent cx="6228715" cy="8221649"/>
            <wp:effectExtent l="0" t="0" r="635" b="825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232836" cy="8227088"/>
                    </a:xfrm>
                    <a:prstGeom prst="rect">
                      <a:avLst/>
                    </a:prstGeom>
                    <a:noFill/>
                    <a:ln>
                      <a:noFill/>
                    </a:ln>
                  </pic:spPr>
                </pic:pic>
              </a:graphicData>
            </a:graphic>
          </wp:inline>
        </w:drawing>
      </w:r>
    </w:p>
    <w:p w:rsidR="00221487" w:rsidRDefault="00221487" w:rsidP="00221487">
      <w:pPr>
        <w:spacing w:after="0" w:line="240" w:lineRule="auto"/>
        <w:jc w:val="both"/>
        <w:rPr>
          <w:rFonts w:ascii="Times New Roman" w:eastAsia="Times New Roman" w:hAnsi="Times New Roman" w:cs="Times New Roman"/>
          <w:noProof/>
          <w:lang w:val="sq-AL"/>
        </w:rPr>
      </w:pPr>
    </w:p>
    <w:p w:rsidR="003C5A1B" w:rsidRDefault="003C5A1B" w:rsidP="00221487">
      <w:pPr>
        <w:spacing w:after="0" w:line="240" w:lineRule="auto"/>
        <w:jc w:val="both"/>
        <w:rPr>
          <w:rFonts w:ascii="Times New Roman" w:eastAsia="Times New Roman" w:hAnsi="Times New Roman" w:cs="Times New Roman"/>
          <w:noProof/>
          <w:lang w:val="sq-AL"/>
        </w:rPr>
      </w:pPr>
    </w:p>
    <w:p w:rsidR="003C5A1B" w:rsidRDefault="003C5A1B" w:rsidP="00221487">
      <w:pPr>
        <w:spacing w:after="0" w:line="240" w:lineRule="auto"/>
        <w:jc w:val="both"/>
        <w:rPr>
          <w:rFonts w:ascii="Times New Roman" w:eastAsia="Times New Roman" w:hAnsi="Times New Roman" w:cs="Times New Roman"/>
          <w:noProof/>
          <w:lang w:val="sq-AL"/>
        </w:rPr>
      </w:pPr>
      <w:r w:rsidRPr="003C5A1B">
        <w:rPr>
          <w:noProof/>
        </w:rPr>
        <w:drawing>
          <wp:inline distT="0" distB="0" distL="0" distR="0" wp14:anchorId="6D2A043A" wp14:editId="7FF128B7">
            <wp:extent cx="8915400" cy="4718692"/>
            <wp:effectExtent l="0" t="0" r="0" b="571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915400" cy="4718692"/>
                    </a:xfrm>
                    <a:prstGeom prst="rect">
                      <a:avLst/>
                    </a:prstGeom>
                    <a:noFill/>
                    <a:ln>
                      <a:noFill/>
                    </a:ln>
                  </pic:spPr>
                </pic:pic>
              </a:graphicData>
            </a:graphic>
          </wp:inline>
        </w:drawing>
      </w:r>
    </w:p>
    <w:p w:rsidR="003C5A1B" w:rsidRDefault="003C5A1B" w:rsidP="00221487">
      <w:pPr>
        <w:spacing w:after="0" w:line="240" w:lineRule="auto"/>
        <w:jc w:val="both"/>
        <w:rPr>
          <w:rFonts w:ascii="Times New Roman" w:eastAsia="Times New Roman" w:hAnsi="Times New Roman" w:cs="Times New Roman"/>
          <w:noProof/>
          <w:lang w:val="sq-AL"/>
        </w:rPr>
      </w:pPr>
    </w:p>
    <w:p w:rsidR="003C5A1B" w:rsidRDefault="003C5A1B" w:rsidP="00221487">
      <w:pPr>
        <w:spacing w:after="0" w:line="240" w:lineRule="auto"/>
        <w:jc w:val="both"/>
        <w:rPr>
          <w:rFonts w:ascii="Times New Roman" w:eastAsia="Times New Roman" w:hAnsi="Times New Roman" w:cs="Times New Roman"/>
          <w:noProof/>
          <w:lang w:val="sq-AL"/>
        </w:rPr>
      </w:pPr>
    </w:p>
    <w:p w:rsidR="003C5A1B" w:rsidRDefault="003C5A1B" w:rsidP="00221487">
      <w:pPr>
        <w:spacing w:after="0" w:line="240" w:lineRule="auto"/>
        <w:jc w:val="both"/>
        <w:rPr>
          <w:rFonts w:ascii="Times New Roman" w:eastAsia="Times New Roman" w:hAnsi="Times New Roman" w:cs="Times New Roman"/>
          <w:noProof/>
          <w:lang w:val="sq-AL"/>
        </w:rPr>
      </w:pPr>
    </w:p>
    <w:p w:rsidR="003C5A1B" w:rsidRDefault="003C5A1B" w:rsidP="00221487">
      <w:pPr>
        <w:spacing w:after="0" w:line="240" w:lineRule="auto"/>
        <w:jc w:val="both"/>
        <w:rPr>
          <w:rFonts w:ascii="Times New Roman" w:eastAsia="Times New Roman" w:hAnsi="Times New Roman" w:cs="Times New Roman"/>
          <w:noProof/>
          <w:lang w:val="sq-AL"/>
        </w:rPr>
      </w:pPr>
    </w:p>
    <w:p w:rsidR="003C5A1B" w:rsidRDefault="003C5A1B" w:rsidP="00221487">
      <w:pPr>
        <w:spacing w:after="0" w:line="240" w:lineRule="auto"/>
        <w:jc w:val="both"/>
        <w:rPr>
          <w:rFonts w:ascii="Times New Roman" w:eastAsia="Times New Roman" w:hAnsi="Times New Roman" w:cs="Times New Roman"/>
          <w:noProof/>
          <w:lang w:val="sq-AL"/>
        </w:rPr>
      </w:pPr>
    </w:p>
    <w:p w:rsidR="003C5A1B" w:rsidRDefault="003C5A1B" w:rsidP="00221487">
      <w:pPr>
        <w:spacing w:after="0" w:line="240" w:lineRule="auto"/>
        <w:jc w:val="both"/>
        <w:rPr>
          <w:rFonts w:ascii="Times New Roman" w:eastAsia="Times New Roman" w:hAnsi="Times New Roman" w:cs="Times New Roman"/>
          <w:noProof/>
          <w:lang w:val="sq-AL"/>
        </w:rPr>
      </w:pPr>
    </w:p>
    <w:p w:rsidR="003C5A1B" w:rsidRDefault="003C5A1B" w:rsidP="00221487">
      <w:pPr>
        <w:spacing w:after="0" w:line="240" w:lineRule="auto"/>
        <w:jc w:val="both"/>
        <w:rPr>
          <w:rFonts w:ascii="Times New Roman" w:eastAsia="Times New Roman" w:hAnsi="Times New Roman" w:cs="Times New Roman"/>
          <w:noProof/>
          <w:lang w:val="sq-AL"/>
        </w:rPr>
      </w:pPr>
      <w:r w:rsidRPr="003C5A1B">
        <w:rPr>
          <w:noProof/>
        </w:rPr>
        <w:lastRenderedPageBreak/>
        <w:drawing>
          <wp:inline distT="0" distB="0" distL="0" distR="0" wp14:anchorId="61B3FA3A" wp14:editId="509365C0">
            <wp:extent cx="8913854" cy="5915770"/>
            <wp:effectExtent l="0" t="0" r="1905" b="889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928071" cy="5925205"/>
                    </a:xfrm>
                    <a:prstGeom prst="rect">
                      <a:avLst/>
                    </a:prstGeom>
                    <a:noFill/>
                    <a:ln>
                      <a:noFill/>
                    </a:ln>
                  </pic:spPr>
                </pic:pic>
              </a:graphicData>
            </a:graphic>
          </wp:inline>
        </w:drawing>
      </w:r>
    </w:p>
    <w:p w:rsidR="003C5A1B" w:rsidRDefault="00F46649" w:rsidP="00221487">
      <w:pPr>
        <w:spacing w:after="0" w:line="240" w:lineRule="auto"/>
        <w:jc w:val="both"/>
        <w:rPr>
          <w:rFonts w:ascii="Times New Roman" w:eastAsia="Times New Roman" w:hAnsi="Times New Roman" w:cs="Times New Roman"/>
          <w:noProof/>
          <w:lang w:val="sq-AL"/>
        </w:rPr>
      </w:pPr>
      <w:r w:rsidRPr="00F46649">
        <w:rPr>
          <w:noProof/>
        </w:rPr>
        <w:lastRenderedPageBreak/>
        <w:drawing>
          <wp:inline distT="0" distB="0" distL="0" distR="0" wp14:anchorId="41B3590E" wp14:editId="186C53EB">
            <wp:extent cx="8914765" cy="5931673"/>
            <wp:effectExtent l="0" t="0" r="63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924734" cy="5938306"/>
                    </a:xfrm>
                    <a:prstGeom prst="rect">
                      <a:avLst/>
                    </a:prstGeom>
                    <a:noFill/>
                    <a:ln>
                      <a:noFill/>
                    </a:ln>
                  </pic:spPr>
                </pic:pic>
              </a:graphicData>
            </a:graphic>
          </wp:inline>
        </w:drawing>
      </w:r>
    </w:p>
    <w:p w:rsidR="003C5A1B" w:rsidRDefault="00497388" w:rsidP="00221487">
      <w:pPr>
        <w:spacing w:after="0" w:line="240" w:lineRule="auto"/>
        <w:jc w:val="both"/>
        <w:rPr>
          <w:rFonts w:ascii="Times New Roman" w:eastAsia="Times New Roman" w:hAnsi="Times New Roman" w:cs="Times New Roman"/>
          <w:noProof/>
          <w:lang w:val="sq-AL"/>
        </w:rPr>
      </w:pPr>
      <w:r w:rsidRPr="00497388">
        <w:rPr>
          <w:noProof/>
        </w:rPr>
        <w:lastRenderedPageBreak/>
        <w:drawing>
          <wp:inline distT="0" distB="0" distL="0" distR="0" wp14:anchorId="0EDC0C15" wp14:editId="2AC82D77">
            <wp:extent cx="8914765" cy="5923722"/>
            <wp:effectExtent l="0" t="0" r="635" b="127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925807" cy="5931060"/>
                    </a:xfrm>
                    <a:prstGeom prst="rect">
                      <a:avLst/>
                    </a:prstGeom>
                    <a:noFill/>
                    <a:ln>
                      <a:noFill/>
                    </a:ln>
                  </pic:spPr>
                </pic:pic>
              </a:graphicData>
            </a:graphic>
          </wp:inline>
        </w:drawing>
      </w:r>
    </w:p>
    <w:p w:rsidR="003C5A1B" w:rsidRDefault="00490DDF" w:rsidP="00221487">
      <w:pPr>
        <w:spacing w:after="0" w:line="240" w:lineRule="auto"/>
        <w:jc w:val="both"/>
        <w:rPr>
          <w:rFonts w:ascii="Times New Roman" w:eastAsia="Times New Roman" w:hAnsi="Times New Roman" w:cs="Times New Roman"/>
          <w:noProof/>
          <w:lang w:val="sq-AL"/>
        </w:rPr>
      </w:pPr>
      <w:r w:rsidRPr="00490DDF">
        <w:rPr>
          <w:noProof/>
        </w:rPr>
        <w:lastRenderedPageBreak/>
        <w:drawing>
          <wp:inline distT="0" distB="0" distL="0" distR="0" wp14:anchorId="5C84EBAC" wp14:editId="7251FD39">
            <wp:extent cx="8912840" cy="5724939"/>
            <wp:effectExtent l="0" t="0" r="317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931137" cy="5736692"/>
                    </a:xfrm>
                    <a:prstGeom prst="rect">
                      <a:avLst/>
                    </a:prstGeom>
                    <a:noFill/>
                    <a:ln>
                      <a:noFill/>
                    </a:ln>
                  </pic:spPr>
                </pic:pic>
              </a:graphicData>
            </a:graphic>
          </wp:inline>
        </w:drawing>
      </w:r>
    </w:p>
    <w:p w:rsidR="00221487" w:rsidRPr="00221487" w:rsidRDefault="00221487" w:rsidP="00221487">
      <w:pPr>
        <w:spacing w:after="0" w:line="240" w:lineRule="auto"/>
        <w:ind w:left="-720"/>
        <w:jc w:val="both"/>
        <w:rPr>
          <w:rFonts w:ascii="Times New Roman" w:eastAsia="Times New Roman" w:hAnsi="Times New Roman" w:cs="Times New Roman"/>
          <w:noProof/>
          <w:lang w:val="sq-AL"/>
        </w:rPr>
        <w:sectPr w:rsidR="00221487" w:rsidRPr="00221487" w:rsidSect="004342D7">
          <w:footnotePr>
            <w:numRestart w:val="eachSect"/>
          </w:footnotePr>
          <w:pgSz w:w="15840" w:h="12240" w:orient="landscape" w:code="1"/>
          <w:pgMar w:top="1170" w:right="630" w:bottom="1440" w:left="1170" w:header="720" w:footer="720" w:gutter="0"/>
          <w:cols w:space="720"/>
          <w:titlePg/>
          <w:docGrid w:linePitch="326"/>
        </w:sectPr>
      </w:pPr>
    </w:p>
    <w:bookmarkEnd w:id="87"/>
    <w:p w:rsidR="00221487" w:rsidRPr="00221487" w:rsidRDefault="00221487" w:rsidP="00221487">
      <w:pPr>
        <w:autoSpaceDE w:val="0"/>
        <w:autoSpaceDN w:val="0"/>
        <w:adjustRightInd w:val="0"/>
        <w:spacing w:after="0" w:line="240" w:lineRule="auto"/>
        <w:jc w:val="both"/>
        <w:rPr>
          <w:rFonts w:ascii="Times New Roman" w:eastAsia="Times New Roman" w:hAnsi="Times New Roman" w:cs="Times New Roman"/>
          <w:b/>
          <w:noProof/>
          <w:color w:val="943634" w:themeColor="accent2" w:themeShade="BF"/>
          <w:lang w:val="sq-AL"/>
        </w:rPr>
      </w:pPr>
      <w:r w:rsidRPr="00221487">
        <w:rPr>
          <w:rFonts w:ascii="Times New Roman" w:eastAsia="Times New Roman" w:hAnsi="Times New Roman" w:cs="Times New Roman"/>
          <w:b/>
          <w:noProof/>
          <w:color w:val="943634" w:themeColor="accent2" w:themeShade="BF"/>
          <w:lang w:val="sq-AL"/>
        </w:rPr>
        <w:lastRenderedPageBreak/>
        <w:t>Shtojca 4: Financimi donatorëve në sektorin e MFP</w:t>
      </w:r>
    </w:p>
    <w:tbl>
      <w:tblPr>
        <w:tblW w:w="10713" w:type="dxa"/>
        <w:tblInd w:w="-545" w:type="dxa"/>
        <w:tblLook w:val="04A0" w:firstRow="1" w:lastRow="0" w:firstColumn="1" w:lastColumn="0" w:noHBand="0" w:noVBand="1"/>
      </w:tblPr>
      <w:tblGrid>
        <w:gridCol w:w="1355"/>
        <w:gridCol w:w="1978"/>
        <w:gridCol w:w="3780"/>
        <w:gridCol w:w="1080"/>
        <w:gridCol w:w="1260"/>
        <w:gridCol w:w="1260"/>
      </w:tblGrid>
      <w:tr w:rsidR="00221487" w:rsidRPr="00221487" w:rsidTr="004342D7">
        <w:trPr>
          <w:trHeight w:val="960"/>
        </w:trPr>
        <w:tc>
          <w:tcPr>
            <w:tcW w:w="1355" w:type="dxa"/>
            <w:tcBorders>
              <w:top w:val="single" w:sz="4" w:space="0" w:color="auto"/>
              <w:left w:val="single" w:sz="4" w:space="0" w:color="auto"/>
              <w:bottom w:val="single" w:sz="4" w:space="0" w:color="auto"/>
              <w:right w:val="single" w:sz="4" w:space="0" w:color="auto"/>
            </w:tcBorders>
            <w:shd w:val="clear" w:color="auto" w:fill="0070C0"/>
            <w:vAlign w:val="center"/>
            <w:hideMark/>
          </w:tcPr>
          <w:p w:rsidR="00221487" w:rsidRPr="00221487" w:rsidRDefault="00221487" w:rsidP="00221487">
            <w:pPr>
              <w:spacing w:after="0" w:line="240" w:lineRule="auto"/>
              <w:jc w:val="center"/>
              <w:rPr>
                <w:rFonts w:ascii="Times New Roman" w:eastAsia="Times New Roman" w:hAnsi="Times New Roman" w:cs="Times New Roman"/>
                <w:b/>
                <w:bCs/>
                <w:noProof/>
                <w:color w:val="FFFFFF"/>
                <w:sz w:val="18"/>
                <w:szCs w:val="18"/>
                <w:lang w:val="sq-AL"/>
              </w:rPr>
            </w:pPr>
            <w:r w:rsidRPr="00221487">
              <w:rPr>
                <w:rFonts w:ascii="Times New Roman" w:eastAsia="Times New Roman" w:hAnsi="Times New Roman" w:cs="Times New Roman"/>
                <w:b/>
                <w:bCs/>
                <w:noProof/>
                <w:color w:val="FFFFFF"/>
                <w:sz w:val="18"/>
                <w:szCs w:val="18"/>
                <w:lang w:val="sq-AL"/>
              </w:rPr>
              <w:t xml:space="preserve">Donatori </w:t>
            </w:r>
          </w:p>
        </w:tc>
        <w:tc>
          <w:tcPr>
            <w:tcW w:w="1978" w:type="dxa"/>
            <w:tcBorders>
              <w:top w:val="single" w:sz="4" w:space="0" w:color="auto"/>
              <w:left w:val="nil"/>
              <w:bottom w:val="single" w:sz="4" w:space="0" w:color="auto"/>
              <w:right w:val="single" w:sz="4" w:space="0" w:color="auto"/>
            </w:tcBorders>
            <w:shd w:val="clear" w:color="auto" w:fill="0070C0"/>
            <w:vAlign w:val="center"/>
            <w:hideMark/>
          </w:tcPr>
          <w:p w:rsidR="00221487" w:rsidRPr="00221487" w:rsidRDefault="00221487" w:rsidP="00221487">
            <w:pPr>
              <w:spacing w:after="0" w:line="240" w:lineRule="auto"/>
              <w:jc w:val="center"/>
              <w:rPr>
                <w:rFonts w:ascii="Times New Roman" w:eastAsia="Times New Roman" w:hAnsi="Times New Roman" w:cs="Times New Roman"/>
                <w:b/>
                <w:bCs/>
                <w:noProof/>
                <w:color w:val="FFFFFF"/>
                <w:sz w:val="18"/>
                <w:szCs w:val="18"/>
                <w:lang w:val="sq-AL"/>
              </w:rPr>
            </w:pPr>
            <w:r w:rsidRPr="00221487">
              <w:rPr>
                <w:rFonts w:ascii="Times New Roman" w:eastAsia="Times New Roman" w:hAnsi="Times New Roman" w:cs="Times New Roman"/>
                <w:b/>
                <w:bCs/>
                <w:noProof/>
                <w:color w:val="FFFFFF"/>
                <w:sz w:val="18"/>
                <w:szCs w:val="18"/>
                <w:lang w:val="sq-AL"/>
              </w:rPr>
              <w:t>Titulli i projektit</w:t>
            </w:r>
          </w:p>
        </w:tc>
        <w:tc>
          <w:tcPr>
            <w:tcW w:w="3780" w:type="dxa"/>
            <w:tcBorders>
              <w:top w:val="single" w:sz="4" w:space="0" w:color="auto"/>
              <w:left w:val="nil"/>
              <w:bottom w:val="single" w:sz="4" w:space="0" w:color="auto"/>
              <w:right w:val="single" w:sz="4" w:space="0" w:color="auto"/>
            </w:tcBorders>
            <w:shd w:val="clear" w:color="auto" w:fill="0070C0"/>
            <w:vAlign w:val="center"/>
            <w:hideMark/>
          </w:tcPr>
          <w:p w:rsidR="00221487" w:rsidRPr="00221487" w:rsidRDefault="00221487" w:rsidP="00221487">
            <w:pPr>
              <w:spacing w:after="0" w:line="240" w:lineRule="auto"/>
              <w:jc w:val="center"/>
              <w:rPr>
                <w:rFonts w:ascii="Times New Roman" w:eastAsia="Times New Roman" w:hAnsi="Times New Roman" w:cs="Times New Roman"/>
                <w:b/>
                <w:bCs/>
                <w:noProof/>
                <w:color w:val="FFFFFF"/>
                <w:sz w:val="18"/>
                <w:szCs w:val="18"/>
                <w:lang w:val="sq-AL"/>
              </w:rPr>
            </w:pPr>
            <w:r w:rsidRPr="00221487">
              <w:rPr>
                <w:rFonts w:ascii="Times New Roman" w:eastAsia="Times New Roman" w:hAnsi="Times New Roman" w:cs="Times New Roman"/>
                <w:b/>
                <w:bCs/>
                <w:noProof/>
                <w:color w:val="FFFFFF"/>
                <w:sz w:val="18"/>
                <w:szCs w:val="18"/>
                <w:lang w:val="sq-AL"/>
              </w:rPr>
              <w:t xml:space="preserve">Përshkrimi </w:t>
            </w:r>
          </w:p>
        </w:tc>
        <w:tc>
          <w:tcPr>
            <w:tcW w:w="1080" w:type="dxa"/>
            <w:tcBorders>
              <w:top w:val="single" w:sz="4" w:space="0" w:color="auto"/>
              <w:left w:val="nil"/>
              <w:bottom w:val="single" w:sz="4" w:space="0" w:color="auto"/>
              <w:right w:val="single" w:sz="4" w:space="0" w:color="auto"/>
            </w:tcBorders>
            <w:shd w:val="clear" w:color="auto" w:fill="0070C0"/>
            <w:vAlign w:val="center"/>
            <w:hideMark/>
          </w:tcPr>
          <w:p w:rsidR="00221487" w:rsidRPr="00221487" w:rsidRDefault="00221487" w:rsidP="00221487">
            <w:pPr>
              <w:spacing w:after="0" w:line="240" w:lineRule="auto"/>
              <w:jc w:val="center"/>
              <w:rPr>
                <w:rFonts w:ascii="Times New Roman" w:eastAsia="Times New Roman" w:hAnsi="Times New Roman" w:cs="Times New Roman"/>
                <w:b/>
                <w:bCs/>
                <w:noProof/>
                <w:color w:val="FFFFFF"/>
                <w:sz w:val="18"/>
                <w:szCs w:val="18"/>
                <w:lang w:val="sq-AL"/>
              </w:rPr>
            </w:pPr>
            <w:r w:rsidRPr="00221487">
              <w:rPr>
                <w:rFonts w:ascii="Times New Roman" w:eastAsia="Times New Roman" w:hAnsi="Times New Roman" w:cs="Times New Roman"/>
                <w:b/>
                <w:bCs/>
                <w:noProof/>
                <w:color w:val="FFFFFF"/>
                <w:sz w:val="18"/>
                <w:szCs w:val="18"/>
                <w:lang w:val="sq-AL"/>
              </w:rPr>
              <w:t>Lloji i financimit</w:t>
            </w:r>
          </w:p>
        </w:tc>
        <w:tc>
          <w:tcPr>
            <w:tcW w:w="1260" w:type="dxa"/>
            <w:tcBorders>
              <w:top w:val="single" w:sz="4" w:space="0" w:color="auto"/>
              <w:left w:val="nil"/>
              <w:bottom w:val="single" w:sz="4" w:space="0" w:color="auto"/>
              <w:right w:val="single" w:sz="4" w:space="0" w:color="auto"/>
            </w:tcBorders>
            <w:shd w:val="clear" w:color="auto" w:fill="0070C0"/>
            <w:vAlign w:val="center"/>
            <w:hideMark/>
          </w:tcPr>
          <w:p w:rsidR="00221487" w:rsidRPr="00221487" w:rsidRDefault="00221487" w:rsidP="00221487">
            <w:pPr>
              <w:spacing w:after="0" w:line="240" w:lineRule="auto"/>
              <w:jc w:val="center"/>
              <w:rPr>
                <w:rFonts w:ascii="Times New Roman" w:eastAsia="Times New Roman" w:hAnsi="Times New Roman" w:cs="Times New Roman"/>
                <w:b/>
                <w:bCs/>
                <w:noProof/>
                <w:color w:val="FFFFFF"/>
                <w:sz w:val="18"/>
                <w:szCs w:val="18"/>
                <w:lang w:val="sq-AL"/>
              </w:rPr>
            </w:pPr>
            <w:r w:rsidRPr="00221487">
              <w:rPr>
                <w:rFonts w:ascii="Times New Roman" w:eastAsia="Times New Roman" w:hAnsi="Times New Roman" w:cs="Times New Roman"/>
                <w:b/>
                <w:bCs/>
                <w:noProof/>
                <w:color w:val="FFFFFF"/>
                <w:sz w:val="18"/>
                <w:szCs w:val="18"/>
                <w:lang w:val="sq-AL"/>
              </w:rPr>
              <w:t>Fondet e angazhuara</w:t>
            </w:r>
          </w:p>
          <w:p w:rsidR="00221487" w:rsidRPr="00221487" w:rsidRDefault="00221487" w:rsidP="00221487">
            <w:pPr>
              <w:spacing w:after="0" w:line="240" w:lineRule="auto"/>
              <w:jc w:val="center"/>
              <w:rPr>
                <w:rFonts w:ascii="Times New Roman" w:eastAsia="Times New Roman" w:hAnsi="Times New Roman" w:cs="Times New Roman"/>
                <w:b/>
                <w:bCs/>
                <w:noProof/>
                <w:color w:val="FFFFFF"/>
                <w:sz w:val="18"/>
                <w:szCs w:val="18"/>
                <w:lang w:val="sq-AL"/>
              </w:rPr>
            </w:pPr>
            <w:r w:rsidRPr="00221487">
              <w:rPr>
                <w:rFonts w:ascii="Times New Roman" w:eastAsia="Times New Roman" w:hAnsi="Times New Roman" w:cs="Times New Roman"/>
                <w:b/>
                <w:bCs/>
                <w:noProof/>
                <w:color w:val="FFFFFF"/>
                <w:sz w:val="18"/>
                <w:szCs w:val="18"/>
                <w:lang w:val="sq-AL"/>
              </w:rPr>
              <w:t>(në euro)</w:t>
            </w:r>
          </w:p>
        </w:tc>
        <w:tc>
          <w:tcPr>
            <w:tcW w:w="1260" w:type="dxa"/>
            <w:tcBorders>
              <w:top w:val="single" w:sz="4" w:space="0" w:color="auto"/>
              <w:left w:val="nil"/>
              <w:bottom w:val="single" w:sz="4" w:space="0" w:color="auto"/>
              <w:right w:val="single" w:sz="4" w:space="0" w:color="auto"/>
            </w:tcBorders>
            <w:shd w:val="clear" w:color="auto" w:fill="0070C0"/>
            <w:vAlign w:val="center"/>
            <w:hideMark/>
          </w:tcPr>
          <w:p w:rsidR="00221487" w:rsidRPr="00221487" w:rsidRDefault="00221487" w:rsidP="00221487">
            <w:pPr>
              <w:spacing w:after="0" w:line="240" w:lineRule="auto"/>
              <w:jc w:val="center"/>
              <w:rPr>
                <w:rFonts w:ascii="Times New Roman" w:eastAsia="Times New Roman" w:hAnsi="Times New Roman" w:cs="Times New Roman"/>
                <w:b/>
                <w:bCs/>
                <w:noProof/>
                <w:color w:val="FFFFFF"/>
                <w:sz w:val="18"/>
                <w:szCs w:val="18"/>
                <w:lang w:val="sq-AL"/>
              </w:rPr>
            </w:pPr>
            <w:r w:rsidRPr="00221487">
              <w:rPr>
                <w:rFonts w:ascii="Times New Roman" w:eastAsia="Times New Roman" w:hAnsi="Times New Roman" w:cs="Times New Roman"/>
                <w:b/>
                <w:bCs/>
                <w:noProof/>
                <w:color w:val="FFFFFF"/>
                <w:sz w:val="18"/>
                <w:szCs w:val="18"/>
                <w:lang w:val="sq-AL"/>
              </w:rPr>
              <w:t xml:space="preserve">Statusi </w:t>
            </w:r>
          </w:p>
        </w:tc>
      </w:tr>
      <w:tr w:rsidR="00221487" w:rsidRPr="00221487" w:rsidTr="004342D7">
        <w:trPr>
          <w:trHeight w:val="890"/>
        </w:trPr>
        <w:tc>
          <w:tcPr>
            <w:tcW w:w="1355" w:type="dxa"/>
            <w:tcBorders>
              <w:top w:val="nil"/>
              <w:left w:val="single" w:sz="4" w:space="0" w:color="auto"/>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BE (IPA 2012)</w:t>
            </w:r>
          </w:p>
        </w:tc>
        <w:tc>
          <w:tcPr>
            <w:tcW w:w="1978" w:type="dxa"/>
            <w:tcBorders>
              <w:top w:val="nil"/>
              <w:left w:val="nil"/>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both"/>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Mbështetje nga projektet e binjakëzimit për institucionin Suprem të auditimit</w:t>
            </w:r>
          </w:p>
        </w:tc>
        <w:tc>
          <w:tcPr>
            <w:tcW w:w="3780" w:type="dxa"/>
            <w:tcBorders>
              <w:top w:val="nil"/>
              <w:left w:val="nil"/>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both"/>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Qëllimi i projektit të binjakëzimit është forcimi i mëtejshëm institucional i KLSH-së dhe harmonizimi me standardet e BE-së. KLSH-ja e Polonisë dhe Kroacisë janë partnerët binjakëzues për KLSH-në. Zbatimi i Projektit filloi në Mars 2016 dhe zgjati 27 muaj.</w:t>
            </w:r>
          </w:p>
        </w:tc>
        <w:tc>
          <w:tcPr>
            <w:tcW w:w="1080" w:type="dxa"/>
            <w:tcBorders>
              <w:top w:val="nil"/>
              <w:left w:val="nil"/>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 xml:space="preserve">Grant </w:t>
            </w:r>
          </w:p>
        </w:tc>
        <w:tc>
          <w:tcPr>
            <w:tcW w:w="1260" w:type="dxa"/>
            <w:tcBorders>
              <w:top w:val="nil"/>
              <w:left w:val="nil"/>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right"/>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2,000,000</w:t>
            </w:r>
          </w:p>
        </w:tc>
        <w:tc>
          <w:tcPr>
            <w:tcW w:w="1260" w:type="dxa"/>
            <w:tcBorders>
              <w:top w:val="nil"/>
              <w:left w:val="nil"/>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I përmbushur korrik 2018</w:t>
            </w:r>
          </w:p>
        </w:tc>
      </w:tr>
      <w:tr w:rsidR="00221487" w:rsidRPr="00221487" w:rsidTr="004342D7">
        <w:trPr>
          <w:trHeight w:val="1043"/>
        </w:trPr>
        <w:tc>
          <w:tcPr>
            <w:tcW w:w="1355" w:type="dxa"/>
            <w:tcBorders>
              <w:top w:val="nil"/>
              <w:left w:val="single" w:sz="4" w:space="0" w:color="auto"/>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BE (IPA 2013)</w:t>
            </w:r>
          </w:p>
        </w:tc>
        <w:tc>
          <w:tcPr>
            <w:tcW w:w="1978" w:type="dxa"/>
            <w:tcBorders>
              <w:top w:val="nil"/>
              <w:left w:val="nil"/>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both"/>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Përmirësimi i Administratës Doganore Shqiptare (Referenca e Veprimit: IPA / 2013 / 024-190)</w:t>
            </w:r>
          </w:p>
        </w:tc>
        <w:tc>
          <w:tcPr>
            <w:tcW w:w="3780" w:type="dxa"/>
            <w:tcBorders>
              <w:top w:val="nil"/>
              <w:left w:val="nil"/>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both"/>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 xml:space="preserve">IPA 2013: Projekti i Binjakëzimit "Përafrimi i Legjislacionit Doganor dhe Procedurat në lidhje me Tarifën me Acquis të BE" Shuma totale: 1.8 milion EUR; Zbatimi i projektit filloi në mars 2017. Kohëzgjatja: 2 vjet. </w:t>
            </w:r>
            <w:r w:rsidRPr="00221487">
              <w:rPr>
                <w:rFonts w:ascii="Times New Roman" w:eastAsia="Times New Roman" w:hAnsi="Times New Roman" w:cs="Times New Roman"/>
                <w:b/>
                <w:noProof/>
                <w:color w:val="000000"/>
                <w:sz w:val="18"/>
                <w:szCs w:val="18"/>
                <w:lang w:val="sq-AL"/>
              </w:rPr>
              <w:t>Projekti i Binjakëzimit</w:t>
            </w:r>
            <w:r w:rsidRPr="00221487">
              <w:rPr>
                <w:rFonts w:ascii="Times New Roman" w:eastAsia="Times New Roman" w:hAnsi="Times New Roman" w:cs="Times New Roman"/>
                <w:noProof/>
                <w:color w:val="000000"/>
                <w:sz w:val="18"/>
                <w:szCs w:val="18"/>
                <w:lang w:val="sq-AL"/>
              </w:rPr>
              <w:t xml:space="preserve"> prezanton një sistem plotësisht TI në përputhje me sistemin e BE-së në lidhje me </w:t>
            </w:r>
            <w:r w:rsidRPr="00221487">
              <w:rPr>
                <w:rFonts w:ascii="Times New Roman" w:eastAsia="Times New Roman" w:hAnsi="Times New Roman" w:cs="Times New Roman"/>
                <w:b/>
                <w:noProof/>
                <w:color w:val="000000"/>
                <w:sz w:val="18"/>
                <w:szCs w:val="18"/>
                <w:lang w:val="sq-AL"/>
              </w:rPr>
              <w:t>Sistemin e Integruar të Menaxhimit të Tarifave</w:t>
            </w:r>
            <w:r w:rsidRPr="00221487">
              <w:rPr>
                <w:rFonts w:ascii="Times New Roman" w:eastAsia="Times New Roman" w:hAnsi="Times New Roman" w:cs="Times New Roman"/>
                <w:noProof/>
                <w:color w:val="000000"/>
                <w:sz w:val="18"/>
                <w:szCs w:val="18"/>
                <w:lang w:val="sq-AL"/>
              </w:rPr>
              <w:t xml:space="preserve"> (SIMT).</w:t>
            </w:r>
          </w:p>
        </w:tc>
        <w:tc>
          <w:tcPr>
            <w:tcW w:w="1080" w:type="dxa"/>
            <w:tcBorders>
              <w:top w:val="nil"/>
              <w:left w:val="nil"/>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Grant</w:t>
            </w:r>
          </w:p>
        </w:tc>
        <w:tc>
          <w:tcPr>
            <w:tcW w:w="1260" w:type="dxa"/>
            <w:tcBorders>
              <w:top w:val="nil"/>
              <w:left w:val="nil"/>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right"/>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 xml:space="preserve">             1,800,000 </w:t>
            </w:r>
          </w:p>
        </w:tc>
        <w:tc>
          <w:tcPr>
            <w:tcW w:w="1260" w:type="dxa"/>
            <w:tcBorders>
              <w:top w:val="nil"/>
              <w:left w:val="nil"/>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I përmbushur mars 2019</w:t>
            </w:r>
          </w:p>
        </w:tc>
      </w:tr>
      <w:tr w:rsidR="00221487" w:rsidRPr="00221487" w:rsidTr="004342D7">
        <w:trPr>
          <w:trHeight w:val="1097"/>
        </w:trPr>
        <w:tc>
          <w:tcPr>
            <w:tcW w:w="1355" w:type="dxa"/>
            <w:tcBorders>
              <w:top w:val="nil"/>
              <w:left w:val="single" w:sz="4" w:space="0" w:color="auto"/>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BE (IPA 2013)</w:t>
            </w:r>
          </w:p>
        </w:tc>
        <w:tc>
          <w:tcPr>
            <w:tcW w:w="1978" w:type="dxa"/>
            <w:tcBorders>
              <w:top w:val="nil"/>
              <w:left w:val="nil"/>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both"/>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Përmirësimi i Administratës Doganore Shqiptare (Referenca e Veprimit: IPA / 2013 / 024-190)</w:t>
            </w:r>
          </w:p>
        </w:tc>
        <w:tc>
          <w:tcPr>
            <w:tcW w:w="3780" w:type="dxa"/>
            <w:tcBorders>
              <w:top w:val="nil"/>
              <w:left w:val="nil"/>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both"/>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Kontrata e asistencës teknike për të zhvilluar sistemin e menaxhuar të tarifuar të kompjuterizuar (SIMT) (Kontrata ref. IPA / 2017 / 383-985)</w:t>
            </w:r>
          </w:p>
        </w:tc>
        <w:tc>
          <w:tcPr>
            <w:tcW w:w="1080" w:type="dxa"/>
            <w:tcBorders>
              <w:top w:val="nil"/>
              <w:left w:val="nil"/>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Grant</w:t>
            </w:r>
          </w:p>
        </w:tc>
        <w:tc>
          <w:tcPr>
            <w:tcW w:w="1260" w:type="dxa"/>
            <w:tcBorders>
              <w:top w:val="nil"/>
              <w:left w:val="nil"/>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right"/>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2,100,000</w:t>
            </w:r>
          </w:p>
        </w:tc>
        <w:tc>
          <w:tcPr>
            <w:tcW w:w="1260" w:type="dxa"/>
            <w:tcBorders>
              <w:top w:val="nil"/>
              <w:left w:val="nil"/>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Në proces</w:t>
            </w:r>
          </w:p>
        </w:tc>
      </w:tr>
      <w:tr w:rsidR="00221487" w:rsidRPr="00221487" w:rsidTr="004342D7">
        <w:trPr>
          <w:trHeight w:val="1250"/>
        </w:trPr>
        <w:tc>
          <w:tcPr>
            <w:tcW w:w="1355" w:type="dxa"/>
            <w:tcBorders>
              <w:top w:val="nil"/>
              <w:left w:val="single" w:sz="4" w:space="0" w:color="auto"/>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BE (IPA 2014)</w:t>
            </w:r>
          </w:p>
        </w:tc>
        <w:tc>
          <w:tcPr>
            <w:tcW w:w="1978" w:type="dxa"/>
            <w:tcBorders>
              <w:top w:val="nil"/>
              <w:left w:val="nil"/>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both"/>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Kontrata e Reformës së Sektorit për Menaxhimin e Financave Publike</w:t>
            </w:r>
          </w:p>
        </w:tc>
        <w:tc>
          <w:tcPr>
            <w:tcW w:w="3780" w:type="dxa"/>
            <w:tcBorders>
              <w:top w:val="nil"/>
              <w:left w:val="nil"/>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both"/>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Ndihma për sektorin e buxhetit: Ndihmë për reformat e menaxhimit të financave publike (MFP) me qëllim të sigurimit të disiplinës fiskale, menaxhimit më të kujdesshëm financiar drejt ofrimit të shërbimit publik efikas (40 milion EUR).</w:t>
            </w:r>
          </w:p>
        </w:tc>
        <w:tc>
          <w:tcPr>
            <w:tcW w:w="1080" w:type="dxa"/>
            <w:tcBorders>
              <w:top w:val="nil"/>
              <w:left w:val="nil"/>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Grant</w:t>
            </w:r>
          </w:p>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(Mbështetje Buxhetore)</w:t>
            </w:r>
          </w:p>
        </w:tc>
        <w:tc>
          <w:tcPr>
            <w:tcW w:w="1260" w:type="dxa"/>
            <w:tcBorders>
              <w:top w:val="nil"/>
              <w:left w:val="nil"/>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right"/>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 xml:space="preserve">           40,000,000 </w:t>
            </w:r>
          </w:p>
        </w:tc>
        <w:tc>
          <w:tcPr>
            <w:tcW w:w="1260" w:type="dxa"/>
            <w:tcBorders>
              <w:top w:val="nil"/>
              <w:left w:val="nil"/>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Në proces</w:t>
            </w:r>
          </w:p>
        </w:tc>
      </w:tr>
      <w:tr w:rsidR="00221487" w:rsidRPr="00221487" w:rsidTr="004342D7">
        <w:trPr>
          <w:trHeight w:val="917"/>
        </w:trPr>
        <w:tc>
          <w:tcPr>
            <w:tcW w:w="1355" w:type="dxa"/>
            <w:tcBorders>
              <w:top w:val="nil"/>
              <w:left w:val="single" w:sz="4" w:space="0" w:color="auto"/>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BE (IPA 2014)</w:t>
            </w:r>
          </w:p>
        </w:tc>
        <w:tc>
          <w:tcPr>
            <w:tcW w:w="1978" w:type="dxa"/>
            <w:tcBorders>
              <w:top w:val="nil"/>
              <w:left w:val="nil"/>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both"/>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Kontrata e Reformës së Sektorit për Menaxhimin e Financave Publike</w:t>
            </w:r>
          </w:p>
        </w:tc>
        <w:tc>
          <w:tcPr>
            <w:tcW w:w="3780" w:type="dxa"/>
            <w:tcBorders>
              <w:top w:val="nil"/>
              <w:left w:val="nil"/>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both"/>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Asistencë Teknike e MFP-së për të forcuar aftësinë për të zbatuar strategjinë e MFP-së, duke siguruar koordinim dhe menaxhim më të mirë të procesit të reformës, transparencës dhe procesit të përgjegjësisë përmes dialogut të zgjeruar dhe disponueshmërisë së informacionit përmes Parlamentit.</w:t>
            </w:r>
          </w:p>
        </w:tc>
        <w:tc>
          <w:tcPr>
            <w:tcW w:w="1080" w:type="dxa"/>
            <w:tcBorders>
              <w:top w:val="nil"/>
              <w:left w:val="nil"/>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Grant</w:t>
            </w:r>
          </w:p>
        </w:tc>
        <w:tc>
          <w:tcPr>
            <w:tcW w:w="1260" w:type="dxa"/>
            <w:tcBorders>
              <w:top w:val="nil"/>
              <w:left w:val="nil"/>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right"/>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 xml:space="preserve">2,000,000 </w:t>
            </w:r>
          </w:p>
        </w:tc>
        <w:tc>
          <w:tcPr>
            <w:tcW w:w="1260" w:type="dxa"/>
            <w:tcBorders>
              <w:top w:val="nil"/>
              <w:left w:val="nil"/>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Në proces</w:t>
            </w:r>
          </w:p>
        </w:tc>
      </w:tr>
      <w:tr w:rsidR="00221487" w:rsidRPr="00221487" w:rsidTr="004342D7">
        <w:trPr>
          <w:trHeight w:val="1223"/>
        </w:trPr>
        <w:tc>
          <w:tcPr>
            <w:tcW w:w="1355" w:type="dxa"/>
            <w:tcBorders>
              <w:top w:val="nil"/>
              <w:left w:val="single" w:sz="4" w:space="0" w:color="auto"/>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 xml:space="preserve">Svicër </w:t>
            </w:r>
          </w:p>
        </w:tc>
        <w:tc>
          <w:tcPr>
            <w:tcW w:w="1978" w:type="dxa"/>
            <w:tcBorders>
              <w:top w:val="nil"/>
              <w:left w:val="nil"/>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both"/>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Programimi Financiar</w:t>
            </w:r>
          </w:p>
        </w:tc>
        <w:tc>
          <w:tcPr>
            <w:tcW w:w="3780" w:type="dxa"/>
            <w:tcBorders>
              <w:top w:val="nil"/>
              <w:left w:val="nil"/>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both"/>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 xml:space="preserve">Qëllimi i projektit është të lejojë përfituesit të zhvillojnë modelet e tyre të programimit financiar, të marrin komandën e analizës teknike, të negociojnë me palët e treta në terma më proaktivë. </w:t>
            </w:r>
          </w:p>
        </w:tc>
        <w:tc>
          <w:tcPr>
            <w:tcW w:w="1080" w:type="dxa"/>
            <w:tcBorders>
              <w:top w:val="nil"/>
              <w:left w:val="nil"/>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 xml:space="preserve">Grant </w:t>
            </w:r>
          </w:p>
        </w:tc>
        <w:tc>
          <w:tcPr>
            <w:tcW w:w="1260" w:type="dxa"/>
            <w:tcBorders>
              <w:top w:val="nil"/>
              <w:left w:val="nil"/>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right"/>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 xml:space="preserve">130,692 </w:t>
            </w:r>
          </w:p>
        </w:tc>
        <w:tc>
          <w:tcPr>
            <w:tcW w:w="1260" w:type="dxa"/>
            <w:tcBorders>
              <w:top w:val="nil"/>
              <w:left w:val="nil"/>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Në proces</w:t>
            </w:r>
          </w:p>
        </w:tc>
      </w:tr>
      <w:tr w:rsidR="00221487" w:rsidRPr="00221487" w:rsidTr="004342D7">
        <w:trPr>
          <w:trHeight w:val="1430"/>
        </w:trPr>
        <w:tc>
          <w:tcPr>
            <w:tcW w:w="1355" w:type="dxa"/>
            <w:tcBorders>
              <w:top w:val="nil"/>
              <w:left w:val="single" w:sz="4" w:space="0" w:color="auto"/>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Svicër</w:t>
            </w:r>
          </w:p>
        </w:tc>
        <w:tc>
          <w:tcPr>
            <w:tcW w:w="1978" w:type="dxa"/>
            <w:tcBorders>
              <w:top w:val="nil"/>
              <w:left w:val="nil"/>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both"/>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Mbështetje për reformat e kontabilitetit publik</w:t>
            </w:r>
          </w:p>
        </w:tc>
        <w:tc>
          <w:tcPr>
            <w:tcW w:w="3780" w:type="dxa"/>
            <w:tcBorders>
              <w:top w:val="nil"/>
              <w:left w:val="nil"/>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both"/>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Projekti siguron asistencë teknike dhe formimi profesional do të sigurohet me qëllim për:</w:t>
            </w:r>
          </w:p>
          <w:p w:rsidR="00221487" w:rsidRPr="00221487" w:rsidRDefault="00221487" w:rsidP="007C6F79">
            <w:pPr>
              <w:numPr>
                <w:ilvl w:val="0"/>
                <w:numId w:val="40"/>
              </w:numPr>
              <w:spacing w:after="0" w:line="240" w:lineRule="auto"/>
              <w:ind w:left="339" w:hanging="339"/>
              <w:contextualSpacing/>
              <w:jc w:val="both"/>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 xml:space="preserve">përmirësimin e menaxhimit të burimeve buxhetore, </w:t>
            </w:r>
          </w:p>
          <w:p w:rsidR="00221487" w:rsidRPr="00221487" w:rsidRDefault="00221487" w:rsidP="007C6F79">
            <w:pPr>
              <w:numPr>
                <w:ilvl w:val="0"/>
                <w:numId w:val="40"/>
              </w:numPr>
              <w:spacing w:after="0" w:line="240" w:lineRule="auto"/>
              <w:ind w:left="339" w:hanging="339"/>
              <w:contextualSpacing/>
              <w:jc w:val="both"/>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 xml:space="preserve">përmirësimin e vendimmarrjes, dhe </w:t>
            </w:r>
          </w:p>
          <w:p w:rsidR="00221487" w:rsidRPr="00221487" w:rsidRDefault="00221487" w:rsidP="007C6F79">
            <w:pPr>
              <w:numPr>
                <w:ilvl w:val="0"/>
                <w:numId w:val="40"/>
              </w:numPr>
              <w:spacing w:after="0" w:line="240" w:lineRule="auto"/>
              <w:ind w:left="339" w:hanging="339"/>
              <w:contextualSpacing/>
              <w:jc w:val="both"/>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rritjen e transparencës së përgjithshme të përdorimit të burimeve fiskale.</w:t>
            </w:r>
          </w:p>
        </w:tc>
        <w:tc>
          <w:tcPr>
            <w:tcW w:w="1080" w:type="dxa"/>
            <w:tcBorders>
              <w:top w:val="nil"/>
              <w:left w:val="nil"/>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 xml:space="preserve">Grant </w:t>
            </w:r>
          </w:p>
        </w:tc>
        <w:tc>
          <w:tcPr>
            <w:tcW w:w="1260" w:type="dxa"/>
            <w:tcBorders>
              <w:top w:val="nil"/>
              <w:left w:val="nil"/>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right"/>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 xml:space="preserve">1,700,000 </w:t>
            </w:r>
          </w:p>
        </w:tc>
        <w:tc>
          <w:tcPr>
            <w:tcW w:w="1260" w:type="dxa"/>
            <w:tcBorders>
              <w:top w:val="nil"/>
              <w:left w:val="nil"/>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Në proces</w:t>
            </w:r>
          </w:p>
        </w:tc>
      </w:tr>
      <w:tr w:rsidR="00221487" w:rsidRPr="00221487" w:rsidTr="004342D7">
        <w:trPr>
          <w:trHeight w:val="1430"/>
        </w:trPr>
        <w:tc>
          <w:tcPr>
            <w:tcW w:w="1355" w:type="dxa"/>
            <w:tcBorders>
              <w:top w:val="nil"/>
              <w:left w:val="single" w:sz="4" w:space="0" w:color="auto"/>
              <w:bottom w:val="single" w:sz="4" w:space="0" w:color="auto"/>
              <w:right w:val="single" w:sz="4" w:space="0" w:color="auto"/>
            </w:tcBorders>
            <w:shd w:val="clear" w:color="auto" w:fill="auto"/>
            <w:vAlign w:val="center"/>
          </w:tcPr>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Svicër</w:t>
            </w:r>
          </w:p>
        </w:tc>
        <w:tc>
          <w:tcPr>
            <w:tcW w:w="1978" w:type="dxa"/>
            <w:tcBorders>
              <w:top w:val="nil"/>
              <w:left w:val="nil"/>
              <w:bottom w:val="single" w:sz="4" w:space="0" w:color="auto"/>
              <w:right w:val="single" w:sz="4" w:space="0" w:color="auto"/>
            </w:tcBorders>
            <w:shd w:val="clear" w:color="auto" w:fill="auto"/>
            <w:vAlign w:val="center"/>
          </w:tcPr>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Forcimi i Menaxhimit të Financave Publike në nivel nën-kombëtar në Shqipëri</w:t>
            </w:r>
          </w:p>
        </w:tc>
        <w:tc>
          <w:tcPr>
            <w:tcW w:w="3780" w:type="dxa"/>
            <w:tcBorders>
              <w:top w:val="nil"/>
              <w:left w:val="nil"/>
              <w:bottom w:val="single" w:sz="4" w:space="0" w:color="auto"/>
              <w:right w:val="single" w:sz="4" w:space="0" w:color="auto"/>
            </w:tcBorders>
            <w:shd w:val="clear" w:color="auto" w:fill="auto"/>
          </w:tcPr>
          <w:p w:rsidR="00221487" w:rsidRPr="00221487" w:rsidRDefault="00221487" w:rsidP="00221487">
            <w:pPr>
              <w:spacing w:after="0" w:line="240" w:lineRule="auto"/>
              <w:jc w:val="both"/>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Qëllimi i projektit: Përmirësimi i mjedisit nën-kombëtar të MFP për të mundësuar disiplinimin financiar, përdorimin efikas të burimeve publike dhe ofrimin e shërbimeve më të mira në komunat e synuara dhe mbështetjen e MoFE në trajtimin e proceseve të vështira të financave ndërqeveritare.</w:t>
            </w:r>
          </w:p>
        </w:tc>
        <w:tc>
          <w:tcPr>
            <w:tcW w:w="1080" w:type="dxa"/>
            <w:tcBorders>
              <w:top w:val="nil"/>
              <w:left w:val="nil"/>
              <w:bottom w:val="single" w:sz="4" w:space="0" w:color="auto"/>
              <w:right w:val="single" w:sz="4" w:space="0" w:color="auto"/>
            </w:tcBorders>
            <w:shd w:val="clear" w:color="auto" w:fill="auto"/>
            <w:vAlign w:val="center"/>
          </w:tcPr>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Grant</w:t>
            </w:r>
          </w:p>
        </w:tc>
        <w:tc>
          <w:tcPr>
            <w:tcW w:w="1260" w:type="dxa"/>
            <w:tcBorders>
              <w:top w:val="nil"/>
              <w:left w:val="nil"/>
              <w:bottom w:val="single" w:sz="4" w:space="0" w:color="auto"/>
              <w:right w:val="single" w:sz="4" w:space="0" w:color="auto"/>
            </w:tcBorders>
            <w:shd w:val="clear" w:color="auto" w:fill="auto"/>
            <w:vAlign w:val="center"/>
          </w:tcPr>
          <w:p w:rsidR="00221487" w:rsidRPr="00221487" w:rsidRDefault="00221487" w:rsidP="00221487">
            <w:pPr>
              <w:spacing w:after="0" w:line="240" w:lineRule="auto"/>
              <w:jc w:val="right"/>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3,900,000</w:t>
            </w:r>
          </w:p>
        </w:tc>
        <w:tc>
          <w:tcPr>
            <w:tcW w:w="1260" w:type="dxa"/>
            <w:tcBorders>
              <w:top w:val="nil"/>
              <w:left w:val="nil"/>
              <w:bottom w:val="single" w:sz="4" w:space="0" w:color="auto"/>
              <w:right w:val="single" w:sz="4" w:space="0" w:color="auto"/>
            </w:tcBorders>
            <w:shd w:val="clear" w:color="auto" w:fill="auto"/>
            <w:vAlign w:val="center"/>
          </w:tcPr>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Në proces</w:t>
            </w:r>
          </w:p>
        </w:tc>
      </w:tr>
      <w:tr w:rsidR="00221487" w:rsidRPr="00221487" w:rsidTr="004342D7">
        <w:trPr>
          <w:trHeight w:val="368"/>
        </w:trPr>
        <w:tc>
          <w:tcPr>
            <w:tcW w:w="1355" w:type="dxa"/>
            <w:tcBorders>
              <w:top w:val="nil"/>
              <w:left w:val="single" w:sz="4" w:space="0" w:color="auto"/>
              <w:bottom w:val="single" w:sz="4" w:space="0" w:color="auto"/>
              <w:right w:val="single" w:sz="4" w:space="0" w:color="auto"/>
            </w:tcBorders>
            <w:shd w:val="clear" w:color="auto" w:fill="auto"/>
            <w:vAlign w:val="center"/>
          </w:tcPr>
          <w:p w:rsidR="00221487" w:rsidRPr="00221487" w:rsidDel="006D774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Svicër</w:t>
            </w:r>
          </w:p>
        </w:tc>
        <w:tc>
          <w:tcPr>
            <w:tcW w:w="1978" w:type="dxa"/>
            <w:tcBorders>
              <w:top w:val="nil"/>
              <w:left w:val="nil"/>
              <w:bottom w:val="single" w:sz="4" w:space="0" w:color="auto"/>
              <w:right w:val="single" w:sz="4" w:space="0" w:color="auto"/>
            </w:tcBorders>
            <w:shd w:val="clear" w:color="auto" w:fill="auto"/>
            <w:vAlign w:val="center"/>
          </w:tcPr>
          <w:p w:rsidR="00221487" w:rsidRPr="00221487" w:rsidDel="006D774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Arial"/>
                <w:bCs/>
                <w:noProof/>
                <w:sz w:val="20"/>
                <w:szCs w:val="20"/>
                <w:lang w:val="sq-AL" w:eastAsia="de-CH"/>
              </w:rPr>
              <w:t>Mbështetje për Reformën e Administrimit të të Ardhurave në Evropën Juglindore</w:t>
            </w:r>
          </w:p>
        </w:tc>
        <w:tc>
          <w:tcPr>
            <w:tcW w:w="3780" w:type="dxa"/>
            <w:tcBorders>
              <w:top w:val="nil"/>
              <w:left w:val="nil"/>
              <w:bottom w:val="single" w:sz="4" w:space="0" w:color="auto"/>
              <w:right w:val="single" w:sz="4" w:space="0" w:color="auto"/>
            </w:tcBorders>
            <w:shd w:val="clear" w:color="auto" w:fill="auto"/>
          </w:tcPr>
          <w:p w:rsidR="00221487" w:rsidRPr="00221487" w:rsidDel="006D7747" w:rsidRDefault="00221487" w:rsidP="00221487">
            <w:pPr>
              <w:spacing w:after="0" w:line="240" w:lineRule="auto"/>
              <w:jc w:val="both"/>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 xml:space="preserve">Qëllimi i përgjithshëm i këtij projekti është që të gjitha vendet përfituese të kenë përmirësuar aftësinë institucionale për të përmbushur kriteret e pranimit në BE. Projekti gjithashtu pritet të arrijë rritje materiale në të ardhurat e brendshme si përqindje e PBB-së. Për ta arritur këtë, secili vend duhet të ngushtojë hendekun e kapaciteteve të tij gjatë tre viteve të ardhshme për të siguruar që sistemet e tyre fiskale janë mjaft të forta për të </w:t>
            </w:r>
            <w:r w:rsidRPr="00221487">
              <w:rPr>
                <w:rFonts w:ascii="Times New Roman" w:eastAsia="Times New Roman" w:hAnsi="Times New Roman" w:cs="Times New Roman"/>
                <w:noProof/>
                <w:color w:val="000000"/>
                <w:sz w:val="18"/>
                <w:szCs w:val="18"/>
                <w:lang w:val="sq-AL"/>
              </w:rPr>
              <w:lastRenderedPageBreak/>
              <w:t>mbështetur objektivat e tyre të anëtarësimit dhe mobilizimit të të ardhurave.</w:t>
            </w:r>
          </w:p>
        </w:tc>
        <w:tc>
          <w:tcPr>
            <w:tcW w:w="1080" w:type="dxa"/>
            <w:tcBorders>
              <w:top w:val="nil"/>
              <w:left w:val="nil"/>
              <w:bottom w:val="single" w:sz="4" w:space="0" w:color="auto"/>
              <w:right w:val="single" w:sz="4" w:space="0" w:color="auto"/>
            </w:tcBorders>
            <w:shd w:val="clear" w:color="auto" w:fill="auto"/>
            <w:vAlign w:val="center"/>
          </w:tcPr>
          <w:p w:rsidR="00221487" w:rsidRPr="00221487" w:rsidDel="006D774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lastRenderedPageBreak/>
              <w:t xml:space="preserve">Grant </w:t>
            </w:r>
          </w:p>
        </w:tc>
        <w:tc>
          <w:tcPr>
            <w:tcW w:w="1260" w:type="dxa"/>
            <w:tcBorders>
              <w:top w:val="nil"/>
              <w:left w:val="nil"/>
              <w:bottom w:val="single" w:sz="4" w:space="0" w:color="auto"/>
              <w:right w:val="single" w:sz="4" w:space="0" w:color="auto"/>
            </w:tcBorders>
            <w:shd w:val="clear" w:color="auto" w:fill="auto"/>
            <w:vAlign w:val="center"/>
          </w:tcPr>
          <w:p w:rsidR="00221487" w:rsidRPr="00221487" w:rsidDel="006D7747" w:rsidRDefault="00221487" w:rsidP="00221487">
            <w:pPr>
              <w:spacing w:after="0" w:line="240" w:lineRule="auto"/>
              <w:jc w:val="right"/>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500,000</w:t>
            </w:r>
          </w:p>
        </w:tc>
        <w:tc>
          <w:tcPr>
            <w:tcW w:w="1260" w:type="dxa"/>
            <w:tcBorders>
              <w:top w:val="nil"/>
              <w:left w:val="nil"/>
              <w:bottom w:val="single" w:sz="4" w:space="0" w:color="auto"/>
              <w:right w:val="single" w:sz="4" w:space="0" w:color="auto"/>
            </w:tcBorders>
            <w:shd w:val="clear" w:color="auto" w:fill="auto"/>
            <w:vAlign w:val="center"/>
          </w:tcPr>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Në proces</w:t>
            </w:r>
          </w:p>
        </w:tc>
      </w:tr>
      <w:tr w:rsidR="00221487" w:rsidRPr="00221487" w:rsidTr="004342D7">
        <w:trPr>
          <w:trHeight w:val="1430"/>
        </w:trPr>
        <w:tc>
          <w:tcPr>
            <w:tcW w:w="1355" w:type="dxa"/>
            <w:tcBorders>
              <w:top w:val="nil"/>
              <w:left w:val="single" w:sz="4" w:space="0" w:color="auto"/>
              <w:bottom w:val="single" w:sz="4" w:space="0" w:color="auto"/>
              <w:right w:val="single" w:sz="4" w:space="0" w:color="auto"/>
            </w:tcBorders>
            <w:shd w:val="clear" w:color="auto" w:fill="auto"/>
            <w:vAlign w:val="center"/>
          </w:tcPr>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lastRenderedPageBreak/>
              <w:t>Svicër</w:t>
            </w:r>
          </w:p>
        </w:tc>
        <w:tc>
          <w:tcPr>
            <w:tcW w:w="1978" w:type="dxa"/>
            <w:tcBorders>
              <w:top w:val="nil"/>
              <w:left w:val="nil"/>
              <w:bottom w:val="single" w:sz="4" w:space="0" w:color="auto"/>
              <w:right w:val="single" w:sz="4" w:space="0" w:color="auto"/>
            </w:tcBorders>
            <w:shd w:val="clear" w:color="auto" w:fill="auto"/>
            <w:vAlign w:val="center"/>
          </w:tcPr>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Përmirësimi i kapaciteteve për SFQ</w:t>
            </w:r>
          </w:p>
        </w:tc>
        <w:tc>
          <w:tcPr>
            <w:tcW w:w="3780" w:type="dxa"/>
            <w:tcBorders>
              <w:top w:val="nil"/>
              <w:left w:val="nil"/>
              <w:bottom w:val="single" w:sz="4" w:space="0" w:color="auto"/>
              <w:right w:val="single" w:sz="4" w:space="0" w:color="auto"/>
            </w:tcBorders>
            <w:shd w:val="clear" w:color="auto" w:fill="auto"/>
            <w:vAlign w:val="center"/>
          </w:tcPr>
          <w:p w:rsidR="00221487" w:rsidRPr="00221487" w:rsidRDefault="00221487" w:rsidP="00221487">
            <w:pPr>
              <w:spacing w:after="0" w:line="240" w:lineRule="auto"/>
              <w:jc w:val="both"/>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Projekti siguron asistencë teknike në vazhdim (TA) dhe trajnim për të përmirësuar kapacitetin për statistikat e financave të qeverisë (SFQ), me një fokus në sigurimin e pajtueshmërisë me kërkesat e BE-së në bazë të Procedurës së Mangësive të tepërta (PMT).</w:t>
            </w:r>
          </w:p>
        </w:tc>
        <w:tc>
          <w:tcPr>
            <w:tcW w:w="1080" w:type="dxa"/>
            <w:tcBorders>
              <w:top w:val="nil"/>
              <w:left w:val="nil"/>
              <w:bottom w:val="single" w:sz="4" w:space="0" w:color="auto"/>
              <w:right w:val="single" w:sz="4" w:space="0" w:color="auto"/>
            </w:tcBorders>
            <w:shd w:val="clear" w:color="auto" w:fill="auto"/>
            <w:vAlign w:val="center"/>
          </w:tcPr>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 xml:space="preserve">Grant </w:t>
            </w:r>
          </w:p>
        </w:tc>
        <w:tc>
          <w:tcPr>
            <w:tcW w:w="1260" w:type="dxa"/>
            <w:tcBorders>
              <w:top w:val="nil"/>
              <w:left w:val="nil"/>
              <w:bottom w:val="single" w:sz="4" w:space="0" w:color="auto"/>
              <w:right w:val="single" w:sz="4" w:space="0" w:color="auto"/>
            </w:tcBorders>
            <w:shd w:val="clear" w:color="auto" w:fill="auto"/>
            <w:vAlign w:val="center"/>
          </w:tcPr>
          <w:p w:rsidR="00221487" w:rsidRPr="00221487" w:rsidRDefault="00221487" w:rsidP="00221487">
            <w:pPr>
              <w:spacing w:after="0" w:line="240" w:lineRule="auto"/>
              <w:jc w:val="right"/>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300,000</w:t>
            </w:r>
          </w:p>
        </w:tc>
        <w:tc>
          <w:tcPr>
            <w:tcW w:w="1260" w:type="dxa"/>
            <w:tcBorders>
              <w:top w:val="nil"/>
              <w:left w:val="nil"/>
              <w:bottom w:val="single" w:sz="4" w:space="0" w:color="auto"/>
              <w:right w:val="single" w:sz="4" w:space="0" w:color="auto"/>
            </w:tcBorders>
            <w:shd w:val="clear" w:color="auto" w:fill="auto"/>
            <w:vAlign w:val="center"/>
          </w:tcPr>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Në proces</w:t>
            </w:r>
          </w:p>
        </w:tc>
      </w:tr>
      <w:tr w:rsidR="00221487" w:rsidRPr="00221487" w:rsidTr="004342D7">
        <w:trPr>
          <w:trHeight w:val="1430"/>
        </w:trPr>
        <w:tc>
          <w:tcPr>
            <w:tcW w:w="1355" w:type="dxa"/>
            <w:tcBorders>
              <w:top w:val="nil"/>
              <w:left w:val="single" w:sz="4" w:space="0" w:color="auto"/>
              <w:bottom w:val="single" w:sz="4" w:space="0" w:color="auto"/>
              <w:right w:val="single" w:sz="4" w:space="0" w:color="auto"/>
            </w:tcBorders>
            <w:shd w:val="clear" w:color="auto" w:fill="auto"/>
            <w:vAlign w:val="center"/>
          </w:tcPr>
          <w:p w:rsidR="00221487" w:rsidRPr="00221487" w:rsidRDefault="00221487" w:rsidP="00221487">
            <w:pPr>
              <w:spacing w:after="0" w:line="240" w:lineRule="auto"/>
              <w:jc w:val="center"/>
              <w:rPr>
                <w:rFonts w:ascii="Times New Roman" w:eastAsia="Times New Roman" w:hAnsi="Times New Roman" w:cs="Times New Roman"/>
                <w:noProof/>
                <w:sz w:val="18"/>
                <w:szCs w:val="18"/>
                <w:lang w:val="sq-AL"/>
              </w:rPr>
            </w:pPr>
            <w:r w:rsidRPr="00221487">
              <w:rPr>
                <w:rFonts w:ascii="Times New Roman" w:eastAsia="Times New Roman" w:hAnsi="Times New Roman" w:cs="Times New Roman"/>
                <w:noProof/>
                <w:color w:val="000000"/>
                <w:sz w:val="18"/>
                <w:szCs w:val="18"/>
                <w:lang w:val="sq-AL"/>
              </w:rPr>
              <w:t>Svicër</w:t>
            </w:r>
          </w:p>
        </w:tc>
        <w:tc>
          <w:tcPr>
            <w:tcW w:w="1978" w:type="dxa"/>
            <w:tcBorders>
              <w:top w:val="nil"/>
              <w:left w:val="nil"/>
              <w:bottom w:val="single" w:sz="4" w:space="0" w:color="auto"/>
              <w:right w:val="single" w:sz="4" w:space="0" w:color="auto"/>
            </w:tcBorders>
            <w:shd w:val="clear" w:color="auto" w:fill="auto"/>
            <w:vAlign w:val="center"/>
          </w:tcPr>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MRBP: menaxhimi i riskut të borxhit të qeverisë</w:t>
            </w:r>
          </w:p>
        </w:tc>
        <w:tc>
          <w:tcPr>
            <w:tcW w:w="3780" w:type="dxa"/>
            <w:tcBorders>
              <w:top w:val="nil"/>
              <w:left w:val="nil"/>
              <w:bottom w:val="single" w:sz="4" w:space="0" w:color="auto"/>
              <w:right w:val="single" w:sz="4" w:space="0" w:color="auto"/>
            </w:tcBorders>
            <w:shd w:val="clear" w:color="auto" w:fill="auto"/>
            <w:vAlign w:val="center"/>
          </w:tcPr>
          <w:p w:rsidR="00221487" w:rsidRPr="00221487" w:rsidRDefault="00221487" w:rsidP="00221487">
            <w:pPr>
              <w:spacing w:after="0" w:line="240" w:lineRule="auto"/>
              <w:jc w:val="both"/>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Zhvillimi i tregut të bonove qeveritare; mbështetje për forcimin e strukturës institucionale të zyrës së administrimit të borxhit, veçanërisht pas procesit të bashkimit të MFE-së; ndihmë për forcimin e operacioneve të administrimit të parave (në koordinim me FMN);</w:t>
            </w:r>
          </w:p>
        </w:tc>
        <w:tc>
          <w:tcPr>
            <w:tcW w:w="1080" w:type="dxa"/>
            <w:tcBorders>
              <w:top w:val="nil"/>
              <w:left w:val="nil"/>
              <w:bottom w:val="single" w:sz="4" w:space="0" w:color="auto"/>
              <w:right w:val="single" w:sz="4" w:space="0" w:color="auto"/>
            </w:tcBorders>
            <w:shd w:val="clear" w:color="auto" w:fill="auto"/>
            <w:vAlign w:val="center"/>
          </w:tcPr>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 xml:space="preserve">Grant </w:t>
            </w:r>
          </w:p>
        </w:tc>
        <w:tc>
          <w:tcPr>
            <w:tcW w:w="1260" w:type="dxa"/>
            <w:tcBorders>
              <w:top w:val="nil"/>
              <w:left w:val="nil"/>
              <w:bottom w:val="single" w:sz="4" w:space="0" w:color="auto"/>
              <w:right w:val="single" w:sz="4" w:space="0" w:color="auto"/>
            </w:tcBorders>
            <w:shd w:val="clear" w:color="auto" w:fill="auto"/>
            <w:vAlign w:val="center"/>
          </w:tcPr>
          <w:p w:rsidR="00221487" w:rsidRPr="00221487" w:rsidRDefault="00221487" w:rsidP="00221487">
            <w:pPr>
              <w:spacing w:after="0" w:line="240" w:lineRule="auto"/>
              <w:jc w:val="right"/>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410,000</w:t>
            </w:r>
          </w:p>
        </w:tc>
        <w:tc>
          <w:tcPr>
            <w:tcW w:w="1260" w:type="dxa"/>
            <w:tcBorders>
              <w:top w:val="nil"/>
              <w:left w:val="nil"/>
              <w:bottom w:val="single" w:sz="4" w:space="0" w:color="auto"/>
              <w:right w:val="single" w:sz="4" w:space="0" w:color="auto"/>
            </w:tcBorders>
            <w:shd w:val="clear" w:color="auto" w:fill="auto"/>
            <w:vAlign w:val="center"/>
          </w:tcPr>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Në proces</w:t>
            </w:r>
          </w:p>
        </w:tc>
      </w:tr>
      <w:tr w:rsidR="00221487" w:rsidRPr="00221487" w:rsidTr="004342D7">
        <w:trPr>
          <w:trHeight w:val="1250"/>
        </w:trPr>
        <w:tc>
          <w:tcPr>
            <w:tcW w:w="1355" w:type="dxa"/>
            <w:tcBorders>
              <w:top w:val="nil"/>
              <w:left w:val="single" w:sz="4" w:space="0" w:color="auto"/>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 xml:space="preserve">Suedi </w:t>
            </w:r>
          </w:p>
        </w:tc>
        <w:tc>
          <w:tcPr>
            <w:tcW w:w="1978" w:type="dxa"/>
            <w:tcBorders>
              <w:top w:val="nil"/>
              <w:left w:val="nil"/>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both"/>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Bashkëpunimi tatimor mbi taksën e pronës</w:t>
            </w:r>
          </w:p>
        </w:tc>
        <w:tc>
          <w:tcPr>
            <w:tcW w:w="3780" w:type="dxa"/>
            <w:tcBorders>
              <w:top w:val="nil"/>
              <w:left w:val="nil"/>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both"/>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Një bashkëpunim tredimensionesh midis administratave tatimore Suedeze dhe asaj Shqiptare, që përqendrohen në arkivimin dixhital, shërbimet e paguesve të taksave dhe kadastrën fiskale (taksimi i pronës).</w:t>
            </w:r>
          </w:p>
        </w:tc>
        <w:tc>
          <w:tcPr>
            <w:tcW w:w="1080" w:type="dxa"/>
            <w:tcBorders>
              <w:top w:val="nil"/>
              <w:left w:val="nil"/>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 xml:space="preserve">Grant </w:t>
            </w:r>
          </w:p>
        </w:tc>
        <w:tc>
          <w:tcPr>
            <w:tcW w:w="1260" w:type="dxa"/>
            <w:tcBorders>
              <w:top w:val="nil"/>
              <w:left w:val="nil"/>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right"/>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 xml:space="preserve">3,204,300 </w:t>
            </w:r>
          </w:p>
        </w:tc>
        <w:tc>
          <w:tcPr>
            <w:tcW w:w="1260" w:type="dxa"/>
            <w:tcBorders>
              <w:top w:val="nil"/>
              <w:left w:val="nil"/>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Në proces</w:t>
            </w:r>
          </w:p>
        </w:tc>
      </w:tr>
      <w:tr w:rsidR="00221487" w:rsidRPr="00221487" w:rsidTr="004342D7">
        <w:trPr>
          <w:trHeight w:val="872"/>
        </w:trPr>
        <w:tc>
          <w:tcPr>
            <w:tcW w:w="1355" w:type="dxa"/>
            <w:tcBorders>
              <w:top w:val="nil"/>
              <w:left w:val="single" w:sz="4" w:space="0" w:color="auto"/>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highlight w:val="yellow"/>
                <w:lang w:val="sq-AL"/>
              </w:rPr>
            </w:pPr>
            <w:r w:rsidRPr="00221487">
              <w:rPr>
                <w:rFonts w:ascii="Times New Roman" w:eastAsia="Times New Roman" w:hAnsi="Times New Roman" w:cs="Times New Roman"/>
                <w:noProof/>
                <w:color w:val="000000"/>
                <w:sz w:val="18"/>
                <w:szCs w:val="18"/>
                <w:lang w:val="sq-AL"/>
              </w:rPr>
              <w:t xml:space="preserve"> USAID</w:t>
            </w:r>
          </w:p>
        </w:tc>
        <w:tc>
          <w:tcPr>
            <w:tcW w:w="1978" w:type="dxa"/>
            <w:tcBorders>
              <w:top w:val="nil"/>
              <w:left w:val="nil"/>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both"/>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Programi i zhvillimit të sektorit financiar në Shqipëri</w:t>
            </w:r>
          </w:p>
        </w:tc>
        <w:tc>
          <w:tcPr>
            <w:tcW w:w="3780" w:type="dxa"/>
            <w:tcBorders>
              <w:top w:val="nil"/>
              <w:left w:val="nil"/>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both"/>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Ofrimi i asistencës teknike në mbështetje të sektorit financiar privat të Shqipërisë, si dhe mbikëqyrje bankare. Ndihmë ndaj AMF-në.</w:t>
            </w:r>
          </w:p>
        </w:tc>
        <w:tc>
          <w:tcPr>
            <w:tcW w:w="1080" w:type="dxa"/>
            <w:tcBorders>
              <w:top w:val="nil"/>
              <w:left w:val="nil"/>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 xml:space="preserve">Grant </w:t>
            </w:r>
          </w:p>
        </w:tc>
        <w:tc>
          <w:tcPr>
            <w:tcW w:w="1260" w:type="dxa"/>
            <w:tcBorders>
              <w:top w:val="nil"/>
              <w:left w:val="nil"/>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right"/>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 xml:space="preserve">4,006,350 </w:t>
            </w:r>
          </w:p>
        </w:tc>
        <w:tc>
          <w:tcPr>
            <w:tcW w:w="1260" w:type="dxa"/>
            <w:tcBorders>
              <w:top w:val="nil"/>
              <w:left w:val="nil"/>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Në proces</w:t>
            </w:r>
          </w:p>
        </w:tc>
      </w:tr>
      <w:tr w:rsidR="00221487" w:rsidRPr="00221487" w:rsidTr="004342D7">
        <w:trPr>
          <w:trHeight w:val="1250"/>
        </w:trPr>
        <w:tc>
          <w:tcPr>
            <w:tcW w:w="1355" w:type="dxa"/>
            <w:tcBorders>
              <w:top w:val="nil"/>
              <w:left w:val="single" w:sz="4" w:space="0" w:color="auto"/>
              <w:bottom w:val="single" w:sz="4" w:space="0" w:color="auto"/>
              <w:right w:val="single" w:sz="4" w:space="0" w:color="auto"/>
            </w:tcBorders>
            <w:shd w:val="clear" w:color="auto" w:fill="auto"/>
            <w:vAlign w:val="center"/>
          </w:tcPr>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highlight w:val="yellow"/>
                <w:lang w:val="sq-AL"/>
              </w:rPr>
            </w:pPr>
            <w:r w:rsidRPr="00221487">
              <w:rPr>
                <w:rFonts w:ascii="Times New Roman" w:eastAsia="Times New Roman" w:hAnsi="Times New Roman" w:cs="Times New Roman"/>
                <w:noProof/>
                <w:color w:val="000000"/>
                <w:sz w:val="18"/>
                <w:szCs w:val="18"/>
                <w:lang w:val="sq-AL"/>
              </w:rPr>
              <w:t xml:space="preserve"> USAID</w:t>
            </w:r>
          </w:p>
        </w:tc>
        <w:tc>
          <w:tcPr>
            <w:tcW w:w="1978" w:type="dxa"/>
            <w:tcBorders>
              <w:top w:val="nil"/>
              <w:left w:val="nil"/>
              <w:bottom w:val="single" w:sz="4" w:space="0" w:color="auto"/>
              <w:right w:val="single" w:sz="4" w:space="0" w:color="auto"/>
            </w:tcBorders>
            <w:shd w:val="clear" w:color="auto" w:fill="auto"/>
            <w:vAlign w:val="center"/>
          </w:tcPr>
          <w:p w:rsidR="00221487" w:rsidRPr="00221487" w:rsidRDefault="00221487" w:rsidP="00221487">
            <w:pPr>
              <w:spacing w:after="0" w:line="240" w:lineRule="auto"/>
              <w:jc w:val="both"/>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Programi i Planifikimit dhe Qeverisjes Lokale (PPQL)</w:t>
            </w:r>
          </w:p>
        </w:tc>
        <w:tc>
          <w:tcPr>
            <w:tcW w:w="3780" w:type="dxa"/>
            <w:tcBorders>
              <w:top w:val="nil"/>
              <w:left w:val="nil"/>
              <w:bottom w:val="single" w:sz="4" w:space="0" w:color="auto"/>
              <w:right w:val="single" w:sz="4" w:space="0" w:color="auto"/>
            </w:tcBorders>
            <w:shd w:val="clear" w:color="auto" w:fill="auto"/>
            <w:vAlign w:val="center"/>
          </w:tcPr>
          <w:p w:rsidR="00221487" w:rsidRPr="00221487" w:rsidRDefault="00221487" w:rsidP="00221487">
            <w:pPr>
              <w:spacing w:after="0" w:line="240" w:lineRule="auto"/>
              <w:jc w:val="both"/>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Përshkrimi i projektit: Projekti ofron asistencë teknike dhe trainim për qeverinë qeveritare dhe institucionet shqiptare të qeverisjes vendore për të mbështetur përpjekjet e tyre për të zbatuar me sukses legjislacionin, politikat dhe reformat e decentralizimit, përfshirë këtu edhe decentralizimin fiskal.</w:t>
            </w:r>
          </w:p>
        </w:tc>
        <w:tc>
          <w:tcPr>
            <w:tcW w:w="1080" w:type="dxa"/>
            <w:tcBorders>
              <w:top w:val="nil"/>
              <w:left w:val="nil"/>
              <w:bottom w:val="single" w:sz="4" w:space="0" w:color="auto"/>
              <w:right w:val="single" w:sz="4" w:space="0" w:color="auto"/>
            </w:tcBorders>
            <w:shd w:val="clear" w:color="auto" w:fill="auto"/>
            <w:vAlign w:val="center"/>
          </w:tcPr>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 xml:space="preserve">Grant </w:t>
            </w:r>
          </w:p>
        </w:tc>
        <w:tc>
          <w:tcPr>
            <w:tcW w:w="1260" w:type="dxa"/>
            <w:tcBorders>
              <w:top w:val="nil"/>
              <w:left w:val="nil"/>
              <w:bottom w:val="single" w:sz="4" w:space="0" w:color="auto"/>
              <w:right w:val="single" w:sz="4" w:space="0" w:color="auto"/>
            </w:tcBorders>
            <w:shd w:val="clear" w:color="auto" w:fill="auto"/>
            <w:vAlign w:val="center"/>
          </w:tcPr>
          <w:p w:rsidR="00221487" w:rsidRPr="00221487" w:rsidRDefault="00221487" w:rsidP="00221487">
            <w:pPr>
              <w:spacing w:after="0" w:line="240" w:lineRule="auto"/>
              <w:jc w:val="right"/>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11,861,773</w:t>
            </w:r>
          </w:p>
        </w:tc>
        <w:tc>
          <w:tcPr>
            <w:tcW w:w="1260" w:type="dxa"/>
            <w:tcBorders>
              <w:top w:val="nil"/>
              <w:left w:val="nil"/>
              <w:bottom w:val="single" w:sz="4" w:space="0" w:color="auto"/>
              <w:right w:val="single" w:sz="4" w:space="0" w:color="auto"/>
            </w:tcBorders>
            <w:shd w:val="clear" w:color="auto" w:fill="auto"/>
            <w:vAlign w:val="center"/>
          </w:tcPr>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Në process deri në fund të vitit 2019</w:t>
            </w:r>
          </w:p>
        </w:tc>
      </w:tr>
      <w:tr w:rsidR="00221487" w:rsidRPr="00221487" w:rsidTr="004342D7">
        <w:trPr>
          <w:trHeight w:val="1340"/>
        </w:trPr>
        <w:tc>
          <w:tcPr>
            <w:tcW w:w="13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Austria</w:t>
            </w:r>
          </w:p>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IPA 2013</w:t>
            </w:r>
          </w:p>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Svicër</w:t>
            </w:r>
          </w:p>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Suedi</w:t>
            </w:r>
          </w:p>
        </w:tc>
        <w:tc>
          <w:tcPr>
            <w:tcW w:w="1978" w:type="dxa"/>
            <w:tcBorders>
              <w:top w:val="single" w:sz="4" w:space="0" w:color="auto"/>
              <w:left w:val="nil"/>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both"/>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Fondi i Mirëbesimit Shumë-Donatorësh (MTDF) për mbështetjen e zhvillimit professional për të zbatuar sistemin e planifikimit të integruar (SPI II).</w:t>
            </w:r>
          </w:p>
        </w:tc>
        <w:tc>
          <w:tcPr>
            <w:tcW w:w="3780" w:type="dxa"/>
            <w:tcBorders>
              <w:top w:val="single" w:sz="4" w:space="0" w:color="auto"/>
              <w:left w:val="nil"/>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both"/>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Ndihmë për qeverinë që të lidhë buxhetin e saj me zhvillimin e vendit dhe integrimin e saj në BE. Rritja e kapaciteteve në Qeveri për zbatimin dhe monitorimin e SPI-ve.</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 xml:space="preserve">Grant </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right"/>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138, 483</w:t>
            </w:r>
          </w:p>
          <w:p w:rsidR="00221487" w:rsidRPr="00221487" w:rsidRDefault="00221487" w:rsidP="00221487">
            <w:pPr>
              <w:spacing w:after="0" w:line="240" w:lineRule="auto"/>
              <w:jc w:val="right"/>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 xml:space="preserve"> 1,100,000 </w:t>
            </w:r>
          </w:p>
          <w:p w:rsidR="00221487" w:rsidRPr="00221487" w:rsidRDefault="00221487" w:rsidP="00221487">
            <w:pPr>
              <w:spacing w:after="0" w:line="240" w:lineRule="auto"/>
              <w:jc w:val="right"/>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1,077,027</w:t>
            </w:r>
          </w:p>
          <w:p w:rsidR="00221487" w:rsidRPr="00221487" w:rsidRDefault="00221487" w:rsidP="00221487">
            <w:pPr>
              <w:spacing w:after="0" w:line="240" w:lineRule="auto"/>
              <w:jc w:val="right"/>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3,052,414</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Në process deri në fund të vitit 2019</w:t>
            </w:r>
          </w:p>
        </w:tc>
      </w:tr>
      <w:tr w:rsidR="00221487" w:rsidRPr="00221487" w:rsidTr="004342D7">
        <w:trPr>
          <w:trHeight w:val="638"/>
        </w:trPr>
        <w:tc>
          <w:tcPr>
            <w:tcW w:w="1355" w:type="dxa"/>
            <w:tcBorders>
              <w:top w:val="single" w:sz="4" w:space="0" w:color="auto"/>
              <w:left w:val="single" w:sz="4" w:space="0" w:color="auto"/>
              <w:bottom w:val="single" w:sz="4" w:space="0" w:color="auto"/>
              <w:right w:val="single" w:sz="4" w:space="0" w:color="auto"/>
            </w:tcBorders>
            <w:shd w:val="clear" w:color="auto" w:fill="auto"/>
            <w:vAlign w:val="center"/>
          </w:tcPr>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Banka Botërore</w:t>
            </w:r>
          </w:p>
        </w:tc>
        <w:tc>
          <w:tcPr>
            <w:tcW w:w="1978" w:type="dxa"/>
            <w:tcBorders>
              <w:top w:val="single" w:sz="4" w:space="0" w:color="auto"/>
              <w:left w:val="nil"/>
              <w:bottom w:val="single" w:sz="4" w:space="0" w:color="auto"/>
              <w:right w:val="single" w:sz="4" w:space="0" w:color="auto"/>
            </w:tcBorders>
            <w:shd w:val="clear" w:color="auto" w:fill="auto"/>
            <w:vAlign w:val="center"/>
          </w:tcPr>
          <w:p w:rsidR="00221487" w:rsidRPr="00221487" w:rsidRDefault="00221487" w:rsidP="00221487">
            <w:pPr>
              <w:spacing w:after="0" w:line="240" w:lineRule="auto"/>
              <w:jc w:val="both"/>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Kredia për politikën e zhvillimit të sektorit financiar 2.</w:t>
            </w:r>
          </w:p>
        </w:tc>
        <w:tc>
          <w:tcPr>
            <w:tcW w:w="3780" w:type="dxa"/>
            <w:tcBorders>
              <w:top w:val="single" w:sz="4" w:space="0" w:color="auto"/>
              <w:left w:val="nil"/>
              <w:bottom w:val="single" w:sz="4" w:space="0" w:color="auto"/>
              <w:right w:val="single" w:sz="4" w:space="0" w:color="auto"/>
            </w:tcBorders>
            <w:shd w:val="clear" w:color="auto" w:fill="auto"/>
            <w:vAlign w:val="center"/>
          </w:tcPr>
          <w:p w:rsidR="00221487" w:rsidRPr="00221487" w:rsidRDefault="00221487" w:rsidP="00221487">
            <w:pPr>
              <w:spacing w:after="0" w:line="240" w:lineRule="auto"/>
              <w:jc w:val="both"/>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Objektivi: të forcohet qëndrueshmëria e sektorit financiar, korniza e sigurimit të depozitave, dhe rregullimi dhe mbikëqyrja e institucioneve financiare jo-bankave. Ky operacion i politikës mbështet reformat që synojnë forcimin e qëndrueshmërisë së sektorit bankar dhe rregullimin dhe mbikëqyrjen e institucioneve financiare jobanka në Shqipëri.</w:t>
            </w:r>
          </w:p>
        </w:tc>
        <w:tc>
          <w:tcPr>
            <w:tcW w:w="1080" w:type="dxa"/>
            <w:tcBorders>
              <w:top w:val="single" w:sz="4" w:space="0" w:color="auto"/>
              <w:left w:val="nil"/>
              <w:bottom w:val="single" w:sz="4" w:space="0" w:color="auto"/>
              <w:right w:val="single" w:sz="4" w:space="0" w:color="auto"/>
            </w:tcBorders>
            <w:shd w:val="clear" w:color="auto" w:fill="auto"/>
            <w:vAlign w:val="center"/>
          </w:tcPr>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Hua</w:t>
            </w:r>
          </w:p>
        </w:tc>
        <w:tc>
          <w:tcPr>
            <w:tcW w:w="1260" w:type="dxa"/>
            <w:tcBorders>
              <w:top w:val="single" w:sz="4" w:space="0" w:color="auto"/>
              <w:left w:val="nil"/>
              <w:bottom w:val="single" w:sz="4" w:space="0" w:color="auto"/>
              <w:right w:val="single" w:sz="4" w:space="0" w:color="auto"/>
            </w:tcBorders>
            <w:shd w:val="clear" w:color="auto" w:fill="auto"/>
            <w:vAlign w:val="center"/>
          </w:tcPr>
          <w:p w:rsidR="00221487" w:rsidRPr="00221487" w:rsidRDefault="00221487" w:rsidP="00221487">
            <w:pPr>
              <w:spacing w:after="0" w:line="240" w:lineRule="auto"/>
              <w:jc w:val="right"/>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81,251,676</w:t>
            </w:r>
          </w:p>
        </w:tc>
        <w:tc>
          <w:tcPr>
            <w:tcW w:w="1260" w:type="dxa"/>
            <w:tcBorders>
              <w:top w:val="single" w:sz="4" w:space="0" w:color="auto"/>
              <w:left w:val="nil"/>
              <w:bottom w:val="single" w:sz="4" w:space="0" w:color="auto"/>
              <w:right w:val="single" w:sz="4" w:space="0" w:color="auto"/>
            </w:tcBorders>
            <w:shd w:val="clear" w:color="auto" w:fill="auto"/>
            <w:vAlign w:val="center"/>
          </w:tcPr>
          <w:p w:rsidR="00221487" w:rsidRPr="00221487" w:rsidRDefault="00221487" w:rsidP="00221487">
            <w:pPr>
              <w:spacing w:after="0" w:line="240" w:lineRule="auto"/>
              <w:jc w:val="center"/>
              <w:rPr>
                <w:rFonts w:ascii="Times New Roman" w:eastAsia="Times New Roman" w:hAnsi="Times New Roman" w:cs="Times New Roman"/>
                <w:noProof/>
                <w:color w:val="000000"/>
                <w:sz w:val="18"/>
                <w:szCs w:val="18"/>
                <w:lang w:val="sq-AL"/>
              </w:rPr>
            </w:pPr>
            <w:r w:rsidRPr="00221487">
              <w:rPr>
                <w:rFonts w:ascii="Times New Roman" w:eastAsia="Times New Roman" w:hAnsi="Times New Roman" w:cs="Times New Roman"/>
                <w:noProof/>
                <w:color w:val="000000"/>
                <w:sz w:val="18"/>
                <w:szCs w:val="18"/>
                <w:lang w:val="sq-AL"/>
              </w:rPr>
              <w:t>I përmbushur në 2018</w:t>
            </w:r>
          </w:p>
        </w:tc>
      </w:tr>
    </w:tbl>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0" w:line="240" w:lineRule="auto"/>
        <w:jc w:val="both"/>
        <w:rPr>
          <w:rFonts w:ascii="Times New Roman" w:eastAsia="Times" w:hAnsi="Times New Roman" w:cs="Times New Roman"/>
          <w:noProof/>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221487" w:rsidRPr="00221487" w:rsidRDefault="00221487" w:rsidP="00221487">
      <w:pPr>
        <w:spacing w:after="116" w:line="240" w:lineRule="auto"/>
        <w:ind w:left="1"/>
        <w:rPr>
          <w:rFonts w:ascii="Times New Roman" w:eastAsia="Times New Roman" w:hAnsi="Times New Roman" w:cs="Times New Roman"/>
          <w:noProof/>
          <w:sz w:val="24"/>
          <w:szCs w:val="24"/>
          <w:lang w:val="sq-AL"/>
        </w:rPr>
      </w:pPr>
    </w:p>
    <w:bookmarkEnd w:id="52"/>
    <w:bookmarkEnd w:id="81"/>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p>
    <w:p w:rsidR="00221487" w:rsidRPr="00221487" w:rsidRDefault="00221487" w:rsidP="00221487">
      <w:pPr>
        <w:spacing w:after="0" w:line="240" w:lineRule="auto"/>
        <w:jc w:val="both"/>
        <w:rPr>
          <w:rFonts w:ascii="Times New Roman" w:eastAsia="Times New Roman" w:hAnsi="Times New Roman" w:cs="Times New Roman"/>
          <w:noProof/>
          <w:sz w:val="24"/>
          <w:szCs w:val="24"/>
          <w:lang w:val="sq-AL"/>
        </w:rPr>
      </w:pPr>
    </w:p>
    <w:p w:rsidR="00221487" w:rsidRPr="00221487" w:rsidRDefault="00221487" w:rsidP="00221487">
      <w:pPr>
        <w:spacing w:after="0" w:line="240" w:lineRule="auto"/>
        <w:jc w:val="both"/>
        <w:rPr>
          <w:rFonts w:ascii="Times New Roman" w:eastAsia="Times New Roman" w:hAnsi="Times New Roman" w:cs="Times New Roman"/>
          <w:noProof/>
          <w:lang w:val="sq-AL"/>
        </w:rPr>
      </w:pPr>
    </w:p>
    <w:p w:rsidR="00D87462" w:rsidRDefault="00D87462"/>
    <w:sectPr w:rsidR="00D87462" w:rsidSect="004342D7">
      <w:footnotePr>
        <w:numRestart w:val="eachSect"/>
      </w:footnotePr>
      <w:pgSz w:w="12240" w:h="15840" w:code="1"/>
      <w:pgMar w:top="360" w:right="1260" w:bottom="1170" w:left="1170" w:header="720" w:footer="720" w:gutter="0"/>
      <w:pgNumType w:start="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7A35" w:rsidRDefault="006E7A35" w:rsidP="00221487">
      <w:pPr>
        <w:spacing w:after="0" w:line="240" w:lineRule="auto"/>
      </w:pPr>
      <w:r>
        <w:separator/>
      </w:r>
    </w:p>
  </w:endnote>
  <w:endnote w:type="continuationSeparator" w:id="0">
    <w:p w:rsidR="006E7A35" w:rsidRDefault="006E7A35" w:rsidP="002214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Condensed Light">
    <w:altName w:val="Segoe UI Semilight"/>
    <w:charset w:val="00"/>
    <w:family w:val="swiss"/>
    <w:pitch w:val="variable"/>
    <w:sig w:usb0="E00002EF" w:usb1="4000205B" w:usb2="00000028"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roman"/>
    <w:notTrueType/>
    <w:pitch w:val="default"/>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S PGothic">
    <w:panose1 w:val="020B0600070205080204"/>
    <w:charset w:val="80"/>
    <w:family w:val="swiss"/>
    <w:pitch w:val="variable"/>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9533489"/>
      <w:docPartObj>
        <w:docPartGallery w:val="Page Numbers (Bottom of Page)"/>
        <w:docPartUnique/>
      </w:docPartObj>
    </w:sdtPr>
    <w:sdtEndPr/>
    <w:sdtContent>
      <w:p w:rsidR="000F2F95" w:rsidRDefault="000F2F95">
        <w:pPr>
          <w:pStyle w:val="Footer"/>
          <w:jc w:val="right"/>
        </w:pPr>
        <w:r>
          <w:rPr>
            <w:noProof w:val="0"/>
          </w:rPr>
          <w:fldChar w:fldCharType="begin"/>
        </w:r>
        <w:r>
          <w:instrText xml:space="preserve"> PAGE   \* MERGEFORMAT </w:instrText>
        </w:r>
        <w:r>
          <w:rPr>
            <w:noProof w:val="0"/>
          </w:rPr>
          <w:fldChar w:fldCharType="separate"/>
        </w:r>
        <w:r w:rsidR="005B32A4">
          <w:t>1</w:t>
        </w:r>
        <w:r>
          <w:fldChar w:fldCharType="end"/>
        </w:r>
      </w:p>
    </w:sdtContent>
  </w:sdt>
  <w:p w:rsidR="000F2F95" w:rsidRDefault="000F2F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7A35" w:rsidRDefault="006E7A35" w:rsidP="00221487">
      <w:pPr>
        <w:spacing w:after="0" w:line="240" w:lineRule="auto"/>
      </w:pPr>
      <w:r>
        <w:separator/>
      </w:r>
    </w:p>
  </w:footnote>
  <w:footnote w:type="continuationSeparator" w:id="0">
    <w:p w:rsidR="006E7A35" w:rsidRDefault="006E7A35" w:rsidP="00221487">
      <w:pPr>
        <w:spacing w:after="0" w:line="240" w:lineRule="auto"/>
      </w:pPr>
      <w:r>
        <w:continuationSeparator/>
      </w:r>
    </w:p>
  </w:footnote>
  <w:footnote w:id="1">
    <w:p w:rsidR="000F2F95" w:rsidRPr="00D156E0" w:rsidRDefault="000F2F95" w:rsidP="00221487">
      <w:pPr>
        <w:pStyle w:val="FootnoteText"/>
        <w:rPr>
          <w:lang w:val="en-US"/>
        </w:rPr>
      </w:pPr>
      <w:r>
        <w:rPr>
          <w:rStyle w:val="FootnoteReference"/>
        </w:rPr>
        <w:footnoteRef/>
      </w:r>
      <w:r>
        <w:t xml:space="preserve"> Nuk është përcaktuar asnjë vlerë e synuar për treguesit në vitin </w:t>
      </w:r>
      <w:r>
        <w:rPr>
          <w:lang w:val="en-US"/>
        </w:rPr>
        <w:t>2018, prandaj përputhshmëria e treguesve analizohet duke shqyrtuar performancën e tyre në krahasim me vitin 2017 dhe tendencën e synuar për vitin 2020.</w:t>
      </w:r>
    </w:p>
  </w:footnote>
  <w:footnote w:id="2">
    <w:p w:rsidR="000F2F95" w:rsidRPr="005C3289" w:rsidRDefault="000F2F95" w:rsidP="00221487">
      <w:pPr>
        <w:pStyle w:val="FootnoteText"/>
      </w:pPr>
      <w:r>
        <w:rPr>
          <w:rStyle w:val="FootnoteReference"/>
        </w:rPr>
        <w:footnoteRef/>
      </w:r>
      <w:r w:rsidRPr="005C3289">
        <w:t xml:space="preserve"> </w:t>
      </w:r>
      <w:hyperlink r:id="rId1" w:history="1">
        <w:r w:rsidRPr="009C557F">
          <w:rPr>
            <w:rStyle w:val="Hyperlink"/>
          </w:rPr>
          <w:t>https://www.tatime.gov.al/c/8/42/49/strategjia-dhe-raporte</w:t>
        </w:r>
      </w:hyperlink>
      <w:r>
        <w:t xml:space="preserve"> </w:t>
      </w:r>
    </w:p>
  </w:footnote>
  <w:footnote w:id="3">
    <w:p w:rsidR="000F2F95" w:rsidRPr="00E237DC" w:rsidRDefault="000F2F95" w:rsidP="00221487">
      <w:pPr>
        <w:pStyle w:val="FootnoteText"/>
      </w:pPr>
      <w:r>
        <w:rPr>
          <w:rStyle w:val="FootnoteReference"/>
        </w:rPr>
        <w:footnoteRef/>
      </w:r>
      <w:r w:rsidRPr="00303EBD">
        <w:t xml:space="preserve"> </w:t>
      </w:r>
      <w:hyperlink r:id="rId2" w:history="1">
        <w:r w:rsidRPr="00303EBD">
          <w:rPr>
            <w:rStyle w:val="Hyperlink"/>
          </w:rPr>
          <w:t>http://www.app.gov.al/GetData/DownloadDoc?documentId=44e86d14-e887-410d-bbc4-40749a49b77e</w:t>
        </w:r>
      </w:hyperlink>
      <w:r w:rsidRPr="00303EBD">
        <w:t xml:space="preserve"> </w:t>
      </w:r>
    </w:p>
  </w:footnote>
  <w:footnote w:id="4">
    <w:p w:rsidR="000F2F95" w:rsidRPr="005C3289" w:rsidRDefault="000F2F95" w:rsidP="00221487">
      <w:pPr>
        <w:pStyle w:val="FootnoteText"/>
      </w:pPr>
      <w:r>
        <w:rPr>
          <w:rStyle w:val="FootnoteReference"/>
        </w:rPr>
        <w:footnoteRef/>
      </w:r>
      <w:r w:rsidRPr="005C3289">
        <w:t xml:space="preserve"> </w:t>
      </w:r>
      <w:hyperlink r:id="rId3" w:history="1">
        <w:r w:rsidRPr="00AD75A1">
          <w:rPr>
            <w:rStyle w:val="Hyperlink"/>
          </w:rPr>
          <w:t>https://financa.gov.al/wp-content/uploads/2018/07/Raporti_Vjetor_i_KBFP_2017.pdf</w:t>
        </w:r>
      </w:hyperlink>
      <w:r w:rsidRPr="00AD75A1">
        <w:t xml:space="preserve"> </w:t>
      </w:r>
    </w:p>
  </w:footnote>
  <w:footnote w:id="5">
    <w:p w:rsidR="000F2F95" w:rsidRPr="005C3289" w:rsidRDefault="000F2F95" w:rsidP="00221487">
      <w:pPr>
        <w:pStyle w:val="FootnoteText"/>
      </w:pPr>
      <w:r>
        <w:rPr>
          <w:rStyle w:val="FootnoteReference"/>
        </w:rPr>
        <w:footnoteRef/>
      </w:r>
      <w:r w:rsidRPr="005C3289">
        <w:t xml:space="preserve"> </w:t>
      </w:r>
      <w:hyperlink r:id="rId4" w:history="1">
        <w:r w:rsidRPr="00AD75A1">
          <w:rPr>
            <w:rStyle w:val="Hyperlink"/>
          </w:rPr>
          <w:t>http://www.klsh.org.al/web/Raporti_Vjetor_i_Performances_KLSH_2017_3452_1.php</w:t>
        </w:r>
      </w:hyperlink>
      <w:r w:rsidRPr="00AD75A1">
        <w:t xml:space="preserve"> </w:t>
      </w:r>
    </w:p>
  </w:footnote>
  <w:footnote w:id="6">
    <w:p w:rsidR="000F2F95" w:rsidRPr="005C3289" w:rsidRDefault="000F2F95" w:rsidP="00221487">
      <w:pPr>
        <w:pStyle w:val="FootnoteText"/>
      </w:pPr>
      <w:r>
        <w:rPr>
          <w:rStyle w:val="FootnoteReference"/>
        </w:rPr>
        <w:footnoteRef/>
      </w:r>
      <w:r w:rsidRPr="005C3289">
        <w:t xml:space="preserve"> </w:t>
      </w:r>
      <w:hyperlink r:id="rId5" w:history="1">
        <w:r w:rsidRPr="00AD75A1">
          <w:rPr>
            <w:rStyle w:val="Hyperlink"/>
          </w:rPr>
          <w:t>http://www.klsh.org.al/web/001_buletini_nr_4_2018_4763_4767.pdf</w:t>
        </w:r>
      </w:hyperlink>
      <w:r w:rsidRPr="00AD75A1">
        <w:t xml:space="preserve"> </w:t>
      </w:r>
    </w:p>
  </w:footnote>
  <w:footnote w:id="7">
    <w:p w:rsidR="000F2F95" w:rsidRPr="005C3289" w:rsidRDefault="000F2F95" w:rsidP="00221487">
      <w:pPr>
        <w:pStyle w:val="FootnoteText"/>
      </w:pPr>
      <w:r>
        <w:rPr>
          <w:rStyle w:val="FootnoteReference"/>
        </w:rPr>
        <w:footnoteRef/>
      </w:r>
      <w:r w:rsidRPr="005C3289">
        <w:t xml:space="preserve"> </w:t>
      </w:r>
      <w:hyperlink r:id="rId6" w:history="1">
        <w:r w:rsidRPr="00AD75A1">
          <w:rPr>
            <w:rStyle w:val="Hyperlink"/>
          </w:rPr>
          <w:t>http://www.klsh.org.al/web/Analiza_Vjetore_2017_3447_1.php</w:t>
        </w:r>
      </w:hyperlink>
      <w:r w:rsidRPr="00AD75A1">
        <w:t xml:space="preserve"> </w:t>
      </w:r>
    </w:p>
  </w:footnote>
  <w:footnote w:id="8">
    <w:p w:rsidR="000F2F95" w:rsidRDefault="000F2F95" w:rsidP="00221487">
      <w:pPr>
        <w:pStyle w:val="FootnoteText"/>
      </w:pPr>
      <w:r>
        <w:rPr>
          <w:rStyle w:val="FootnoteReference"/>
        </w:rPr>
        <w:footnoteRef/>
      </w:r>
      <w:r>
        <w:t xml:space="preserve"> Për të vlerësuar përmbushjen e kushteve të përgjithshme dhe atyre specifike të Instrumentit të Asistencës së Para-Aderimit </w:t>
      </w:r>
      <w:r w:rsidRPr="00EE0513">
        <w:t xml:space="preserve">2014 (IPA 2014) </w:t>
      </w:r>
      <w:r>
        <w:t xml:space="preserve">Kontrata e Reformës Sektoriale të Menaxhimit të Financave Publike (KRS MFP) </w:t>
      </w:r>
    </w:p>
  </w:footnote>
  <w:footnote w:id="9">
    <w:p w:rsidR="000F2F95" w:rsidRPr="00834B10" w:rsidRDefault="000F2F95" w:rsidP="00221487">
      <w:pPr>
        <w:pStyle w:val="FootnoteText"/>
      </w:pPr>
      <w:r w:rsidRPr="005F4245">
        <w:rPr>
          <w:rStyle w:val="FootnoteReference"/>
        </w:rPr>
        <w:footnoteRef/>
      </w:r>
      <w:r w:rsidRPr="005F4245">
        <w:t xml:space="preserve"> </w:t>
      </w:r>
      <w:r w:rsidRPr="005F4245">
        <w:rPr>
          <w:rFonts w:eastAsia="Times"/>
          <w:sz w:val="18"/>
        </w:rPr>
        <w:t>(Shënim: Duke iu referuar Statistikabe Fiskale Analitike për dhjetorin 2018, të botuara në shkurt 2019. Vlerësimi i PBB për 2018 ështl objekt ndryshimi pasi INSTAT-i boton të dhënat për PBB për tremujorin e katërt të vitit 2018 nga fundi i marsit 2019.)</w:t>
      </w:r>
    </w:p>
  </w:footnote>
  <w:footnote w:id="10">
    <w:p w:rsidR="000F2F95" w:rsidRPr="00266E1B" w:rsidRDefault="000F2F95" w:rsidP="00221487">
      <w:pPr>
        <w:pStyle w:val="FootnoteText"/>
      </w:pPr>
      <w:r w:rsidRPr="00266E1B">
        <w:rPr>
          <w:rStyle w:val="FootnoteReference"/>
        </w:rPr>
        <w:footnoteRef/>
      </w:r>
      <w:r w:rsidRPr="00266E1B">
        <w:t xml:space="preserve"> </w:t>
      </w:r>
      <w:r>
        <w:t xml:space="preserve">Vlerësimi i </w:t>
      </w:r>
      <w:r w:rsidRPr="00266E1B">
        <w:t>SIGMA</w:t>
      </w:r>
      <w:r>
        <w:t>-s</w:t>
      </w:r>
      <w:r w:rsidRPr="00266E1B">
        <w:t xml:space="preserve"> 2015 </w:t>
      </w:r>
      <w:r>
        <w:t xml:space="preserve">për strategjitë e vitit </w:t>
      </w:r>
      <w:r w:rsidRPr="00266E1B">
        <w:rPr>
          <w:color w:val="000000" w:themeColor="text1"/>
          <w:lang w:val="en-US"/>
        </w:rPr>
        <w:t>2014</w:t>
      </w:r>
    </w:p>
  </w:footnote>
  <w:footnote w:id="11">
    <w:p w:rsidR="000F2F95" w:rsidRPr="000F2F95" w:rsidRDefault="000F2F95" w:rsidP="00221487">
      <w:pPr>
        <w:pStyle w:val="FootnoteText"/>
      </w:pPr>
      <w:r>
        <w:rPr>
          <w:rStyle w:val="FootnoteReference"/>
        </w:rPr>
        <w:footnoteRef/>
      </w:r>
      <w:r>
        <w:t xml:space="preserve"> </w:t>
      </w:r>
      <w:r w:rsidRPr="000F2F95">
        <w:t>SISPI, AFMIS, SIMNH</w:t>
      </w:r>
    </w:p>
  </w:footnote>
  <w:footnote w:id="12">
    <w:p w:rsidR="000F2F95" w:rsidRPr="00AB63BC" w:rsidRDefault="000F2F95" w:rsidP="00221487">
      <w:pPr>
        <w:pStyle w:val="FootnoteText"/>
        <w:rPr>
          <w:sz w:val="18"/>
        </w:rPr>
      </w:pPr>
      <w:r w:rsidRPr="00AB63BC">
        <w:rPr>
          <w:rStyle w:val="FootnoteReference"/>
          <w:sz w:val="18"/>
        </w:rPr>
        <w:footnoteRef/>
      </w:r>
      <w:r w:rsidRPr="00AB63BC">
        <w:rPr>
          <w:sz w:val="18"/>
        </w:rPr>
        <w:t xml:space="preserve"> </w:t>
      </w:r>
      <w:r>
        <w:t>26</w:t>
      </w:r>
      <w:r>
        <w:tab/>
        <w:t xml:space="preserve">9 PBA-të përfshijnë: (i) Ministria e Transportit dhe Infrastrukturës: (1) Transport Rrugor; (2) Uji dhe Kanalizimet; (ii) Ministria e Shëndetësisë: (3) Shërbimi Shëndetësor Parësor; (4) Shërbimet Spitalore; (iii) Ministria e Arsimit dhe Sporteve; (5) Arsimi Bazë (përfshirë parashkollorët); (6) Arsimi Parauniversitar i Përgjithshëm; 4.Ministria e Bujqësisë; (7) Menaxhimi i Kullimit dhe Ujitjes; (8) Zhvillimi Rural (përfshirë Prodhimet Bujqësore, Agro-industrial dhe Tregu, etj.) 5. Ministria e Mjedisit; (9) Programi i Mbrojtjes Mjedisore </w:t>
      </w:r>
    </w:p>
    <w:p w:rsidR="000F2F95" w:rsidRPr="00AB63BC" w:rsidRDefault="000F2F95" w:rsidP="00221487">
      <w:pPr>
        <w:pStyle w:val="FootnoteText"/>
      </w:pPr>
    </w:p>
  </w:footnote>
  <w:footnote w:id="13">
    <w:p w:rsidR="000F2F95" w:rsidRPr="00523C98" w:rsidRDefault="000F2F95" w:rsidP="00221487">
      <w:pPr>
        <w:pStyle w:val="FootnoteText"/>
      </w:pPr>
      <w:r>
        <w:rPr>
          <w:rStyle w:val="FootnoteReference"/>
        </w:rPr>
        <w:footnoteRef/>
      </w:r>
      <w:r>
        <w:t xml:space="preserve"> E njëjta me objektivin 1 të Komponentit 2.1 “Rishikimi dhe zhvillimi i politikave strategjike”, seksioni 3.2.2.</w:t>
      </w:r>
    </w:p>
  </w:footnote>
  <w:footnote w:id="14">
    <w:p w:rsidR="000F2F95" w:rsidRPr="00B32C19" w:rsidRDefault="000F2F95" w:rsidP="00221487">
      <w:pPr>
        <w:rPr>
          <w:rFonts w:eastAsia="Times"/>
          <w:lang w:val="sq-AL"/>
        </w:rPr>
      </w:pPr>
      <w:r>
        <w:rPr>
          <w:rStyle w:val="FootnoteReference"/>
        </w:rPr>
        <w:footnoteRef/>
      </w:r>
      <w:r w:rsidRPr="00AD75A1">
        <w:rPr>
          <w:lang w:val="sq-AL"/>
        </w:rPr>
        <w:t xml:space="preserve"> </w:t>
      </w:r>
      <w:r w:rsidRPr="00B32C19">
        <w:rPr>
          <w:rFonts w:eastAsia="Times"/>
          <w:lang w:val="sq-AL"/>
        </w:rPr>
        <w:t>Synimi I këtij treguesi është të rrisë bazën tatimore për punonjësit dhe bizneset krahasuar me vlerën bazë (2014), e cila është arritur përkatësisht; 29% për punonjësit 16% për bizneset, edhe pse ka ndodhur një ulje e numrit të bizneseve krahasuar me vitin 2017.</w:t>
      </w:r>
    </w:p>
    <w:p w:rsidR="000F2F95" w:rsidRPr="00B32C19" w:rsidRDefault="000F2F95" w:rsidP="00221487">
      <w:pPr>
        <w:pStyle w:val="FootnoteText"/>
      </w:pPr>
    </w:p>
  </w:footnote>
  <w:footnote w:id="15">
    <w:p w:rsidR="000F2F95" w:rsidRPr="004B08B0" w:rsidRDefault="000F2F95" w:rsidP="00221487">
      <w:pPr>
        <w:pStyle w:val="FootnoteText"/>
      </w:pPr>
      <w:r>
        <w:rPr>
          <w:rStyle w:val="FootnoteReference"/>
        </w:rPr>
        <w:footnoteRef/>
      </w:r>
      <w:hyperlink r:id="rId7" w:history="1">
        <w:r w:rsidRPr="004B08B0">
          <w:rPr>
            <w:rStyle w:val="Hyperlink"/>
          </w:rPr>
          <w:t>https://</w:t>
        </w:r>
        <w:r>
          <w:rPr>
            <w:rStyle w:val="Hyperlink"/>
          </w:rPr>
          <w:t>ëëë</w:t>
        </w:r>
        <w:r w:rsidRPr="004B08B0">
          <w:rPr>
            <w:rStyle w:val="Hyperlink"/>
          </w:rPr>
          <w:t>.financa.gov.al/</w:t>
        </w:r>
        <w:r>
          <w:rPr>
            <w:rStyle w:val="Hyperlink"/>
          </w:rPr>
          <w:t>ë</w:t>
        </w:r>
        <w:r w:rsidRPr="004B08B0">
          <w:rPr>
            <w:rStyle w:val="Hyperlink"/>
          </w:rPr>
          <w:t>p-content/uploads/2018/06/Udhezimi_nr.8_date_09.03.2018_Per_Procedurat_e_Pergatitjes_Paraqitjes_dhe_Raportimit_te_Pasqyrave_Financiare_Vjetore_te_NJQP.pdf</w:t>
        </w:r>
      </w:hyperlink>
    </w:p>
    <w:p w:rsidR="000F2F95" w:rsidRPr="004B08B0" w:rsidRDefault="000F2F95" w:rsidP="00221487">
      <w:pPr>
        <w:pStyle w:val="FootnoteText"/>
      </w:pPr>
    </w:p>
  </w:footnote>
  <w:footnote w:id="16">
    <w:p w:rsidR="000F2F95" w:rsidRPr="004B08B0" w:rsidRDefault="000F2F95" w:rsidP="00221487">
      <w:pPr>
        <w:pStyle w:val="FootnoteText"/>
      </w:pPr>
      <w:r>
        <w:rPr>
          <w:rStyle w:val="FootnoteReference"/>
        </w:rPr>
        <w:footnoteRef/>
      </w:r>
      <w:hyperlink r:id="rId8" w:history="1">
        <w:r w:rsidRPr="004B08B0">
          <w:rPr>
            <w:rStyle w:val="Hyperlink"/>
          </w:rPr>
          <w:t>http://</w:t>
        </w:r>
        <w:r>
          <w:rPr>
            <w:rStyle w:val="Hyperlink"/>
          </w:rPr>
          <w:t>ëëë</w:t>
        </w:r>
        <w:r w:rsidRPr="004B08B0">
          <w:rPr>
            <w:rStyle w:val="Hyperlink"/>
          </w:rPr>
          <w:t>.qbz.gov.al/Botime/Akteindividuale/Janar%202018/Fletore%2079/LIGJ%20nr.%2025-2018,%20date%2010.5.2018.pdf</w:t>
        </w:r>
      </w:hyperlink>
    </w:p>
  </w:footnote>
  <w:footnote w:id="17">
    <w:p w:rsidR="000F2F95" w:rsidRPr="004B08B0" w:rsidRDefault="000F2F95" w:rsidP="00221487">
      <w:pPr>
        <w:pStyle w:val="FootnoteText"/>
      </w:pPr>
      <w:r>
        <w:rPr>
          <w:rStyle w:val="FootnoteReference"/>
        </w:rPr>
        <w:footnoteRef/>
      </w:r>
      <w:hyperlink r:id="rId9" w:history="1">
        <w:r w:rsidRPr="004B08B0">
          <w:rPr>
            <w:rStyle w:val="Hyperlink"/>
          </w:rPr>
          <w:t>https://financa.gov.al/</w:t>
        </w:r>
        <w:r>
          <w:rPr>
            <w:rStyle w:val="Hyperlink"/>
          </w:rPr>
          <w:t>ë</w:t>
        </w:r>
        <w:r w:rsidRPr="004B08B0">
          <w:rPr>
            <w:rStyle w:val="Hyperlink"/>
          </w:rPr>
          <w:t>p-content/uploads/2018/12/Udhezimi-Per-Procedurat-e-Mbylljes-se-Llogarive-Vjetore-te-Buxhetit-per-Vitin-2018.pdf</w:t>
        </w:r>
      </w:hyperlink>
    </w:p>
    <w:p w:rsidR="000F2F95" w:rsidRPr="004B08B0" w:rsidRDefault="000F2F95" w:rsidP="00221487">
      <w:pPr>
        <w:pStyle w:val="FootnoteText"/>
      </w:pPr>
    </w:p>
  </w:footnote>
  <w:footnote w:id="18">
    <w:p w:rsidR="000F2F95" w:rsidRPr="004B08B0" w:rsidRDefault="000F2F95" w:rsidP="00221487">
      <w:pPr>
        <w:pStyle w:val="FootnoteText"/>
      </w:pPr>
      <w:r>
        <w:rPr>
          <w:rStyle w:val="FootnoteReference"/>
        </w:rPr>
        <w:footnoteRef/>
      </w:r>
      <w:r w:rsidRPr="004B08B0">
        <w:t xml:space="preserve"> </w:t>
      </w:r>
      <w:hyperlink r:id="rId10" w:history="1">
        <w:r w:rsidRPr="004B08B0">
          <w:rPr>
            <w:rStyle w:val="Hyperlink"/>
          </w:rPr>
          <w:t>https://financa.gov.al/</w:t>
        </w:r>
        <w:r>
          <w:rPr>
            <w:rStyle w:val="Hyperlink"/>
          </w:rPr>
          <w:t>ë</w:t>
        </w:r>
        <w:r w:rsidRPr="004B08B0">
          <w:rPr>
            <w:rStyle w:val="Hyperlink"/>
          </w:rPr>
          <w:t>p-content/uploads/2018/08/Udhezimi-standart-i-PBA-vendorit.pdf</w:t>
        </w:r>
      </w:hyperlink>
      <w:r w:rsidRPr="004B08B0">
        <w:t xml:space="preserve">  </w:t>
      </w:r>
    </w:p>
  </w:footnote>
  <w:footnote w:id="19">
    <w:p w:rsidR="000F2F95" w:rsidRPr="004B08B0" w:rsidRDefault="000F2F95" w:rsidP="00221487">
      <w:pPr>
        <w:pStyle w:val="FootnoteText"/>
      </w:pPr>
      <w:r>
        <w:rPr>
          <w:rStyle w:val="FootnoteReference"/>
        </w:rPr>
        <w:footnoteRef/>
      </w:r>
      <w:r w:rsidRPr="004B08B0">
        <w:t xml:space="preserve"> </w:t>
      </w:r>
      <w:hyperlink r:id="rId11" w:history="1">
        <w:r w:rsidRPr="004B08B0">
          <w:rPr>
            <w:rStyle w:val="Hyperlink"/>
          </w:rPr>
          <w:t>https://financa.gov.al/</w:t>
        </w:r>
        <w:r>
          <w:rPr>
            <w:rStyle w:val="Hyperlink"/>
          </w:rPr>
          <w:t>ë</w:t>
        </w:r>
        <w:r w:rsidRPr="004B08B0">
          <w:rPr>
            <w:rStyle w:val="Hyperlink"/>
          </w:rPr>
          <w:t>p-content/uploads/2018/08/Udhezimi-standart-i-monitorimit-te-buxhetit-vendor.pdf</w:t>
        </w:r>
      </w:hyperlink>
      <w:r w:rsidRPr="004B08B0">
        <w:t xml:space="preserve"> </w:t>
      </w:r>
    </w:p>
  </w:footnote>
  <w:footnote w:id="20">
    <w:p w:rsidR="000F2F95" w:rsidRPr="00BA570B" w:rsidRDefault="000F2F95" w:rsidP="00221487">
      <w:pPr>
        <w:pStyle w:val="FootnoteText"/>
      </w:pPr>
      <w:r>
        <w:rPr>
          <w:rStyle w:val="FootnoteReference"/>
        </w:rPr>
        <w:footnoteRef/>
      </w:r>
      <w:hyperlink r:id="rId12" w:history="1">
        <w:r w:rsidRPr="001331B2">
          <w:rPr>
            <w:rStyle w:val="Hyperlink"/>
            <w:sz w:val="18"/>
            <w:szCs w:val="18"/>
          </w:rPr>
          <w:t>http://</w:t>
        </w:r>
        <w:r>
          <w:rPr>
            <w:rStyle w:val="Hyperlink"/>
            <w:sz w:val="18"/>
            <w:szCs w:val="18"/>
          </w:rPr>
          <w:t>ëëë</w:t>
        </w:r>
        <w:r w:rsidRPr="001331B2">
          <w:rPr>
            <w:rStyle w:val="Hyperlink"/>
            <w:sz w:val="18"/>
            <w:szCs w:val="18"/>
          </w:rPr>
          <w:t>.financatvendore.al/pub/raporte</w:t>
        </w:r>
      </w:hyperlink>
    </w:p>
  </w:footnote>
  <w:footnote w:id="21">
    <w:p w:rsidR="000F2F95" w:rsidRPr="000C125C" w:rsidRDefault="000F2F95" w:rsidP="00221487">
      <w:pPr>
        <w:pStyle w:val="FootnoteText"/>
        <w:rPr>
          <w:rFonts w:eastAsiaTheme="minorHAnsi"/>
        </w:rPr>
      </w:pPr>
      <w:r w:rsidRPr="00C84A59">
        <w:rPr>
          <w:rStyle w:val="FootnoteReference"/>
        </w:rPr>
        <w:footnoteRef/>
      </w:r>
      <w:hyperlink r:id="rId13" w:history="1">
        <w:r w:rsidRPr="000C125C">
          <w:rPr>
            <w:rStyle w:val="Hyperlink"/>
            <w:rFonts w:eastAsiaTheme="minorHAnsi"/>
          </w:rPr>
          <w:t>http://</w:t>
        </w:r>
        <w:r>
          <w:rPr>
            <w:rStyle w:val="Hyperlink"/>
            <w:rFonts w:eastAsiaTheme="minorHAnsi"/>
          </w:rPr>
          <w:t>ëëë</w:t>
        </w:r>
        <w:r w:rsidRPr="000C125C">
          <w:rPr>
            <w:rStyle w:val="Hyperlink"/>
            <w:rFonts w:eastAsiaTheme="minorHAnsi"/>
          </w:rPr>
          <w:t>.financa.gov.al/raporti-i-mes-vitit-mbi-zbatimin-e-buxhetit-2018/</w:t>
        </w:r>
      </w:hyperlink>
    </w:p>
    <w:p w:rsidR="000F2F95" w:rsidRPr="000C125C" w:rsidRDefault="000F2F95" w:rsidP="00221487">
      <w:pPr>
        <w:pStyle w:val="FootnoteText"/>
      </w:pPr>
    </w:p>
  </w:footnote>
  <w:footnote w:id="22">
    <w:p w:rsidR="000F2F95" w:rsidRPr="000C125C" w:rsidRDefault="000F2F95" w:rsidP="00221487">
      <w:pPr>
        <w:pStyle w:val="FootnoteText"/>
      </w:pPr>
      <w:r>
        <w:rPr>
          <w:rStyle w:val="FootnoteReference"/>
        </w:rPr>
        <w:footnoteRef/>
      </w:r>
      <w:r w:rsidRPr="000C125C">
        <w:t xml:space="preserve"> </w:t>
      </w:r>
      <w:hyperlink r:id="rId14" w:history="1">
        <w:r w:rsidRPr="000C125C">
          <w:rPr>
            <w:rStyle w:val="Hyperlink"/>
          </w:rPr>
          <w:t>https://financa.gov.al/raporte-monitorimi-nga-ministrite-e-linjes-2018/</w:t>
        </w:r>
      </w:hyperlink>
      <w:r w:rsidRPr="000C125C">
        <w:t xml:space="preserve"> </w:t>
      </w:r>
    </w:p>
  </w:footnote>
  <w:footnote w:id="23">
    <w:p w:rsidR="000F2F95" w:rsidRPr="00CB3F85" w:rsidRDefault="000F2F95" w:rsidP="00221487">
      <w:pPr>
        <w:pStyle w:val="FootnoteText"/>
      </w:pPr>
      <w:r>
        <w:rPr>
          <w:rStyle w:val="FootnoteReference"/>
        </w:rPr>
        <w:footnoteRef/>
      </w:r>
      <w:hyperlink r:id="rId15" w:history="1">
        <w:r w:rsidRPr="00CB3F85">
          <w:rPr>
            <w:rStyle w:val="Hyperlink"/>
          </w:rPr>
          <w:t>http://boost.financa.gov.al/</w:t>
        </w:r>
      </w:hyperlink>
    </w:p>
  </w:footnote>
  <w:footnote w:id="24">
    <w:p w:rsidR="000F2F95" w:rsidRDefault="000F2F95" w:rsidP="00221487">
      <w:pPr>
        <w:pStyle w:val="FootnoteText"/>
      </w:pPr>
      <w:r>
        <w:rPr>
          <w:rStyle w:val="FootnoteReference"/>
        </w:rPr>
        <w:footnoteRef/>
      </w:r>
      <w:r>
        <w:t xml:space="preserve"> GFS (Government Financial Statistics) 2014 kërkon informacion për të paktën 4 nivele raportimi.  </w:t>
      </w:r>
    </w:p>
  </w:footnote>
  <w:footnote w:id="25">
    <w:p w:rsidR="000F2F95" w:rsidRPr="000F2F95" w:rsidRDefault="000F2F95" w:rsidP="00221487">
      <w:pPr>
        <w:pStyle w:val="FootnoteText"/>
      </w:pPr>
      <w:r>
        <w:rPr>
          <w:rStyle w:val="FootnoteReference"/>
        </w:rPr>
        <w:footnoteRef/>
      </w:r>
      <w:r>
        <w:t xml:space="preserve"> </w:t>
      </w:r>
      <w:hyperlink r:id="rId16" w:history="1">
        <w:r w:rsidRPr="00E936D3">
          <w:rPr>
            <w:rStyle w:val="Hyperlink"/>
          </w:rPr>
          <w:t>http://</w:t>
        </w:r>
        <w:r>
          <w:rPr>
            <w:rStyle w:val="Hyperlink"/>
          </w:rPr>
          <w:t>ëëë</w:t>
        </w:r>
        <w:r w:rsidRPr="00E936D3">
          <w:rPr>
            <w:rStyle w:val="Hyperlink"/>
          </w:rPr>
          <w:t>.financatvendore.al/pub/raporte</w:t>
        </w:r>
      </w:hyperlink>
      <w:r>
        <w:t xml:space="preserve"> </w:t>
      </w:r>
    </w:p>
  </w:footnote>
  <w:footnote w:id="26">
    <w:p w:rsidR="000F2F95" w:rsidRPr="000F2F95" w:rsidRDefault="000F2F95" w:rsidP="00221487">
      <w:pPr>
        <w:pStyle w:val="FootnoteText"/>
      </w:pPr>
      <w:r>
        <w:rPr>
          <w:rStyle w:val="FootnoteReference"/>
        </w:rPr>
        <w:footnoteRef/>
      </w:r>
      <w:r>
        <w:t xml:space="preserve"> </w:t>
      </w:r>
      <w:r w:rsidRPr="00B43072">
        <w:t xml:space="preserve">Ky tregues </w:t>
      </w:r>
      <w:r>
        <w:t>llogaritet bazuar</w:t>
      </w:r>
      <w:r w:rsidRPr="00B43072">
        <w:t xml:space="preserve"> në pyetësorin e vetëvlerësimit të </w:t>
      </w:r>
      <w:r>
        <w:t>plotësuar</w:t>
      </w:r>
      <w:r w:rsidRPr="00B43072">
        <w:t xml:space="preserve"> nga njësitë publike. Për shkak të seancave të vazhdueshme të monitorimit dhe sensibilizimit me menaxherët e sektorit publik gjatë vitit 2018, është vërejtur </w:t>
      </w:r>
      <w:r>
        <w:t>rritje</w:t>
      </w:r>
      <w:r w:rsidRPr="00B43072">
        <w:t xml:space="preserve"> ndërgjegjësimi </w:t>
      </w:r>
      <w:r>
        <w:t>mbi</w:t>
      </w:r>
      <w:r w:rsidRPr="00B43072">
        <w:t xml:space="preserve"> rëndësinë e konceptit dhe zbatimit të sistemit të kontrollit të brendshëm. Për këtë arsye, vlerësimi dhe informacioni i përfshirë në pyetësorin e vetëvlerësimit ishte më afër situatës reale të institucioneve. Duke marrë parasysh objektivitetin në rritje të sistemit të auditimit të brendshëm nga njësitë publike, ky tregues ka rezultuar në një rënie të vogël të vlerës në krahasim me vitin 2017</w:t>
      </w:r>
      <w:r w:rsidRPr="00FD3B8E">
        <w:t>.</w:t>
      </w:r>
    </w:p>
  </w:footnote>
  <w:footnote w:id="27">
    <w:p w:rsidR="000F2F95" w:rsidRPr="000F2F95" w:rsidRDefault="000F2F95" w:rsidP="00221487">
      <w:pPr>
        <w:pStyle w:val="FootnoteText"/>
      </w:pPr>
      <w:r>
        <w:rPr>
          <w:rStyle w:val="FootnoteReference"/>
        </w:rPr>
        <w:footnoteRef/>
      </w:r>
      <w:r>
        <w:t xml:space="preserve"> </w:t>
      </w:r>
      <w:r w:rsidRPr="00B43072">
        <w:t xml:space="preserve">Ky tregues </w:t>
      </w:r>
      <w:r>
        <w:t>llogaritet bazuar</w:t>
      </w:r>
      <w:r w:rsidRPr="00B43072">
        <w:t xml:space="preserve"> në pyetësorin e vetëvlerësimit të </w:t>
      </w:r>
      <w:r>
        <w:t>plotësuar</w:t>
      </w:r>
      <w:r w:rsidRPr="00B43072">
        <w:t xml:space="preserve"> nga njësitë publike. Për shkak të seancave të vazhdueshme të monitorimit dhe sensibilizimit me menaxherët e sektorit publik gjatë vitit 2018, është vërejtur </w:t>
      </w:r>
      <w:r>
        <w:t>rritje</w:t>
      </w:r>
      <w:r w:rsidRPr="00B43072">
        <w:t xml:space="preserve"> ndërgjegjësimi </w:t>
      </w:r>
      <w:r>
        <w:t>mbi</w:t>
      </w:r>
      <w:r w:rsidRPr="00B43072">
        <w:t xml:space="preserve"> rëndësinë e konceptit dhe zbatimit të sistemit të kontrollit të brendshëm. Për këtë arsye, vlerësimi dhe informacioni i përfshirë në pyetësorin e vetëvlerësimit ishte më afër situatës reale të institucioneve. Duke marrë parasysh objektivitetin në rritje të sistemit të auditimit të brendshëm nga njësitë publike, ky tregues ka rezultuar në një rënie të vogël të vlerës në krahasim me vitin 2017</w:t>
      </w:r>
      <w:r w:rsidRPr="00FD3B8E">
        <w:t>.</w:t>
      </w:r>
    </w:p>
  </w:footnote>
  <w:footnote w:id="28">
    <w:p w:rsidR="000F2F95" w:rsidRDefault="000F2F95" w:rsidP="00221487">
      <w:pPr>
        <w:pStyle w:val="FootnoteText"/>
      </w:pPr>
      <w:r>
        <w:rPr>
          <w:rStyle w:val="FootnoteReference"/>
        </w:rPr>
        <w:footnoteRef/>
      </w:r>
      <w:r>
        <w:t xml:space="preserve"> </w:t>
      </w:r>
      <w:r w:rsidRPr="00EA77F1">
        <w:t>https://financa.gov.al/</w:t>
      </w:r>
      <w:r>
        <w:t>ë</w:t>
      </w:r>
      <w:r w:rsidRPr="00EA77F1">
        <w:t>p-content/uploads/2018/07/Raporti_Vjetor_i_KBFP_2017.pdf</w:t>
      </w:r>
    </w:p>
  </w:footnote>
  <w:footnote w:id="29">
    <w:p w:rsidR="000F2F95" w:rsidRDefault="000F2F95" w:rsidP="00221487">
      <w:pPr>
        <w:pStyle w:val="FootnoteText"/>
      </w:pPr>
      <w:r>
        <w:rPr>
          <w:rStyle w:val="FootnoteReference"/>
        </w:rPr>
        <w:footnoteRef/>
      </w:r>
      <w:r>
        <w:t xml:space="preserve"> </w:t>
      </w:r>
      <w:r w:rsidRPr="00372C28">
        <w:t>T</w:t>
      </w:r>
      <w:r>
        <w:t>reguesi nuk u përmbush për 2017 sepse treguesi ishte më i ulët se në vitin (55% në 2017, 60% në 2016).</w:t>
      </w:r>
    </w:p>
  </w:footnote>
  <w:footnote w:id="30">
    <w:p w:rsidR="000F2F95" w:rsidRDefault="000F2F95" w:rsidP="00221487">
      <w:pPr>
        <w:pStyle w:val="FootnoteText"/>
      </w:pPr>
      <w:r>
        <w:rPr>
          <w:rStyle w:val="FootnoteReference"/>
        </w:rPr>
        <w:footnoteRef/>
      </w:r>
      <w:r>
        <w:t xml:space="preserve"> </w:t>
      </w:r>
      <w:r w:rsidRPr="004B4101">
        <w:t>T</w:t>
      </w:r>
      <w:r>
        <w:t>reguesi u përmbush për vitin 2017 sepse vlera e treguesit ishte më e lartë se në vitin 2016</w:t>
      </w:r>
      <w:r w:rsidRPr="004B4101">
        <w:t xml:space="preserve"> (</w:t>
      </w:r>
      <w:r w:rsidRPr="00372C28">
        <w:t>6</w:t>
      </w:r>
      <w:r>
        <w:t>6</w:t>
      </w:r>
      <w:r w:rsidRPr="00372C28">
        <w:t>%</w:t>
      </w:r>
      <w:r>
        <w:t xml:space="preserve"> në</w:t>
      </w:r>
      <w:r w:rsidRPr="004B4101">
        <w:t xml:space="preserve"> 2017, 60% </w:t>
      </w:r>
      <w:r>
        <w:t>në</w:t>
      </w:r>
      <w:r w:rsidRPr="004B4101">
        <w:t xml:space="preserve"> 2016).</w:t>
      </w:r>
      <w:r w:rsidRPr="00372C28">
        <w:t xml:space="preserve"> </w:t>
      </w:r>
    </w:p>
  </w:footnote>
  <w:footnote w:id="31">
    <w:p w:rsidR="000F2F95" w:rsidRPr="007D2BFC" w:rsidRDefault="000F2F95" w:rsidP="00221487">
      <w:pPr>
        <w:pStyle w:val="FootnoteText"/>
      </w:pPr>
      <w:r>
        <w:rPr>
          <w:rStyle w:val="FootnoteReference"/>
        </w:rPr>
        <w:footnoteRef/>
      </w:r>
      <w:r w:rsidRPr="008814DE">
        <w:rPr>
          <w:sz w:val="18"/>
        </w:rPr>
        <w:t>Numri i përgjithshëm i auditimeve të kryera deri më 31 dhjetor 2018 ishte 179 auditime, nga të cilat 171 auditime të përfunduara dhe 8 auditime në proces.</w:t>
      </w:r>
    </w:p>
  </w:footnote>
  <w:footnote w:id="32">
    <w:p w:rsidR="000F2F95" w:rsidRPr="009B6832" w:rsidRDefault="000F2F95" w:rsidP="00221487">
      <w:pPr>
        <w:pStyle w:val="FootnoteText"/>
        <w:jc w:val="left"/>
        <w:rPr>
          <w:sz w:val="16"/>
        </w:rPr>
      </w:pPr>
      <w:r w:rsidRPr="009B6832">
        <w:rPr>
          <w:rStyle w:val="FootnoteReference"/>
          <w:sz w:val="16"/>
        </w:rPr>
        <w:footnoteRef/>
      </w:r>
      <w:r w:rsidRPr="009B6832">
        <w:rPr>
          <w:sz w:val="16"/>
        </w:rPr>
        <w:t xml:space="preserve">Programi i Zhvillimit Profesional për vitin 2018, </w:t>
      </w:r>
      <w:hyperlink r:id="rId17" w:history="1">
        <w:r w:rsidRPr="009B6832">
          <w:rPr>
            <w:rStyle w:val="Hyperlink"/>
            <w:sz w:val="16"/>
          </w:rPr>
          <w:t>http://www.klsh.org.al/web/pzhp_2018_18_01_2018_punuar_finale_1_4555.pdf</w:t>
        </w:r>
      </w:hyperlink>
      <w:r w:rsidRPr="009B6832">
        <w:rPr>
          <w:sz w:val="16"/>
        </w:rPr>
        <w:t xml:space="preserve"> </w:t>
      </w:r>
    </w:p>
    <w:p w:rsidR="000F2F95" w:rsidRPr="00FC1DDF" w:rsidRDefault="000F2F95" w:rsidP="00221487">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2F95" w:rsidRDefault="000F2F95" w:rsidP="004342D7">
    <w:pPr>
      <w:pStyle w:val="Heading1"/>
      <w:numPr>
        <w:ilvl w:val="0"/>
        <w:numId w:val="0"/>
      </w:numPr>
      <w:ind w:left="720"/>
    </w:pPr>
  </w:p>
  <w:p w:rsidR="000F2F95" w:rsidRPr="00B53287" w:rsidRDefault="008F76C6" w:rsidP="004342D7">
    <w:pPr>
      <w:pStyle w:val="Heading1"/>
      <w:numPr>
        <w:ilvl w:val="0"/>
        <w:numId w:val="0"/>
      </w:numPr>
      <w:ind w:left="720"/>
    </w:pPr>
    <w:r>
      <w:t xml:space="preserve">Raporti i Monitorimit </w:t>
    </w:r>
    <w:r w:rsidR="000F2F95">
      <w:t xml:space="preserve">2018 </w:t>
    </w:r>
    <w:r>
      <w:t>për Strategjinë MFP</w:t>
    </w:r>
  </w:p>
  <w:p w:rsidR="000F2F95" w:rsidRPr="00F94E03" w:rsidRDefault="000F2F95" w:rsidP="004342D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D6092"/>
    <w:multiLevelType w:val="hybridMultilevel"/>
    <w:tmpl w:val="4DEA9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7D692E"/>
    <w:multiLevelType w:val="hybridMultilevel"/>
    <w:tmpl w:val="A2A2A6DA"/>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2">
    <w:nsid w:val="08140C74"/>
    <w:multiLevelType w:val="hybridMultilevel"/>
    <w:tmpl w:val="FE780CC8"/>
    <w:lvl w:ilvl="0" w:tplc="AAA4FD00">
      <w:start w:val="1"/>
      <w:numFmt w:val="decimal"/>
      <w:lvlText w:val="%1."/>
      <w:lvlJc w:val="left"/>
      <w:pPr>
        <w:tabs>
          <w:tab w:val="num" w:pos="720"/>
        </w:tabs>
        <w:ind w:left="720" w:hanging="360"/>
      </w:pPr>
    </w:lvl>
    <w:lvl w:ilvl="1" w:tplc="9438C17E">
      <w:start w:val="1"/>
      <w:numFmt w:val="decimal"/>
      <w:lvlText w:val="%2."/>
      <w:lvlJc w:val="left"/>
      <w:pPr>
        <w:tabs>
          <w:tab w:val="num" w:pos="1440"/>
        </w:tabs>
        <w:ind w:left="1440" w:hanging="360"/>
      </w:pPr>
    </w:lvl>
    <w:lvl w:ilvl="2" w:tplc="80C2277C" w:tentative="1">
      <w:start w:val="1"/>
      <w:numFmt w:val="decimal"/>
      <w:lvlText w:val="%3."/>
      <w:lvlJc w:val="left"/>
      <w:pPr>
        <w:tabs>
          <w:tab w:val="num" w:pos="2160"/>
        </w:tabs>
        <w:ind w:left="2160" w:hanging="360"/>
      </w:pPr>
    </w:lvl>
    <w:lvl w:ilvl="3" w:tplc="43A8F1FC" w:tentative="1">
      <w:start w:val="1"/>
      <w:numFmt w:val="decimal"/>
      <w:lvlText w:val="%4."/>
      <w:lvlJc w:val="left"/>
      <w:pPr>
        <w:tabs>
          <w:tab w:val="num" w:pos="2880"/>
        </w:tabs>
        <w:ind w:left="2880" w:hanging="360"/>
      </w:pPr>
    </w:lvl>
    <w:lvl w:ilvl="4" w:tplc="03D6912E" w:tentative="1">
      <w:start w:val="1"/>
      <w:numFmt w:val="decimal"/>
      <w:lvlText w:val="%5."/>
      <w:lvlJc w:val="left"/>
      <w:pPr>
        <w:tabs>
          <w:tab w:val="num" w:pos="3600"/>
        </w:tabs>
        <w:ind w:left="3600" w:hanging="360"/>
      </w:pPr>
    </w:lvl>
    <w:lvl w:ilvl="5" w:tplc="01E61B68" w:tentative="1">
      <w:start w:val="1"/>
      <w:numFmt w:val="decimal"/>
      <w:lvlText w:val="%6."/>
      <w:lvlJc w:val="left"/>
      <w:pPr>
        <w:tabs>
          <w:tab w:val="num" w:pos="4320"/>
        </w:tabs>
        <w:ind w:left="4320" w:hanging="360"/>
      </w:pPr>
    </w:lvl>
    <w:lvl w:ilvl="6" w:tplc="CEB6DB60" w:tentative="1">
      <w:start w:val="1"/>
      <w:numFmt w:val="decimal"/>
      <w:lvlText w:val="%7."/>
      <w:lvlJc w:val="left"/>
      <w:pPr>
        <w:tabs>
          <w:tab w:val="num" w:pos="5040"/>
        </w:tabs>
        <w:ind w:left="5040" w:hanging="360"/>
      </w:pPr>
    </w:lvl>
    <w:lvl w:ilvl="7" w:tplc="8D3222EC" w:tentative="1">
      <w:start w:val="1"/>
      <w:numFmt w:val="decimal"/>
      <w:lvlText w:val="%8."/>
      <w:lvlJc w:val="left"/>
      <w:pPr>
        <w:tabs>
          <w:tab w:val="num" w:pos="5760"/>
        </w:tabs>
        <w:ind w:left="5760" w:hanging="360"/>
      </w:pPr>
    </w:lvl>
    <w:lvl w:ilvl="8" w:tplc="2A18407E" w:tentative="1">
      <w:start w:val="1"/>
      <w:numFmt w:val="decimal"/>
      <w:lvlText w:val="%9."/>
      <w:lvlJc w:val="left"/>
      <w:pPr>
        <w:tabs>
          <w:tab w:val="num" w:pos="6480"/>
        </w:tabs>
        <w:ind w:left="6480" w:hanging="360"/>
      </w:pPr>
    </w:lvl>
  </w:abstractNum>
  <w:abstractNum w:abstractNumId="3">
    <w:nsid w:val="0A5D3980"/>
    <w:multiLevelType w:val="hybridMultilevel"/>
    <w:tmpl w:val="36BAF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923732"/>
    <w:multiLevelType w:val="multilevel"/>
    <w:tmpl w:val="59EABF6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954582"/>
    <w:multiLevelType w:val="hybridMultilevel"/>
    <w:tmpl w:val="958EF3D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0339DF"/>
    <w:multiLevelType w:val="hybridMultilevel"/>
    <w:tmpl w:val="D02826B4"/>
    <w:lvl w:ilvl="0" w:tplc="08090001">
      <w:start w:val="1"/>
      <w:numFmt w:val="bullet"/>
      <w:lvlText w:val=""/>
      <w:lvlJc w:val="left"/>
      <w:pPr>
        <w:ind w:left="721" w:hanging="360"/>
      </w:pPr>
      <w:rPr>
        <w:rFonts w:ascii="Symbol" w:hAnsi="Symbol" w:hint="default"/>
      </w:rPr>
    </w:lvl>
    <w:lvl w:ilvl="1" w:tplc="08090003" w:tentative="1">
      <w:start w:val="1"/>
      <w:numFmt w:val="bullet"/>
      <w:lvlText w:val="o"/>
      <w:lvlJc w:val="left"/>
      <w:pPr>
        <w:ind w:left="1441" w:hanging="360"/>
      </w:pPr>
      <w:rPr>
        <w:rFonts w:ascii="Courier New" w:hAnsi="Courier New" w:cs="Courier New" w:hint="default"/>
      </w:rPr>
    </w:lvl>
    <w:lvl w:ilvl="2" w:tplc="08090005" w:tentative="1">
      <w:start w:val="1"/>
      <w:numFmt w:val="bullet"/>
      <w:lvlText w:val=""/>
      <w:lvlJc w:val="left"/>
      <w:pPr>
        <w:ind w:left="2161" w:hanging="360"/>
      </w:pPr>
      <w:rPr>
        <w:rFonts w:ascii="Wingdings" w:hAnsi="Wingdings" w:hint="default"/>
      </w:rPr>
    </w:lvl>
    <w:lvl w:ilvl="3" w:tplc="08090001" w:tentative="1">
      <w:start w:val="1"/>
      <w:numFmt w:val="bullet"/>
      <w:lvlText w:val=""/>
      <w:lvlJc w:val="left"/>
      <w:pPr>
        <w:ind w:left="2881" w:hanging="360"/>
      </w:pPr>
      <w:rPr>
        <w:rFonts w:ascii="Symbol" w:hAnsi="Symbol" w:hint="default"/>
      </w:rPr>
    </w:lvl>
    <w:lvl w:ilvl="4" w:tplc="08090003" w:tentative="1">
      <w:start w:val="1"/>
      <w:numFmt w:val="bullet"/>
      <w:lvlText w:val="o"/>
      <w:lvlJc w:val="left"/>
      <w:pPr>
        <w:ind w:left="3601" w:hanging="360"/>
      </w:pPr>
      <w:rPr>
        <w:rFonts w:ascii="Courier New" w:hAnsi="Courier New" w:cs="Courier New" w:hint="default"/>
      </w:rPr>
    </w:lvl>
    <w:lvl w:ilvl="5" w:tplc="08090005" w:tentative="1">
      <w:start w:val="1"/>
      <w:numFmt w:val="bullet"/>
      <w:lvlText w:val=""/>
      <w:lvlJc w:val="left"/>
      <w:pPr>
        <w:ind w:left="4321" w:hanging="360"/>
      </w:pPr>
      <w:rPr>
        <w:rFonts w:ascii="Wingdings" w:hAnsi="Wingdings" w:hint="default"/>
      </w:rPr>
    </w:lvl>
    <w:lvl w:ilvl="6" w:tplc="08090001" w:tentative="1">
      <w:start w:val="1"/>
      <w:numFmt w:val="bullet"/>
      <w:lvlText w:val=""/>
      <w:lvlJc w:val="left"/>
      <w:pPr>
        <w:ind w:left="5041" w:hanging="360"/>
      </w:pPr>
      <w:rPr>
        <w:rFonts w:ascii="Symbol" w:hAnsi="Symbol" w:hint="default"/>
      </w:rPr>
    </w:lvl>
    <w:lvl w:ilvl="7" w:tplc="08090003" w:tentative="1">
      <w:start w:val="1"/>
      <w:numFmt w:val="bullet"/>
      <w:lvlText w:val="o"/>
      <w:lvlJc w:val="left"/>
      <w:pPr>
        <w:ind w:left="5761" w:hanging="360"/>
      </w:pPr>
      <w:rPr>
        <w:rFonts w:ascii="Courier New" w:hAnsi="Courier New" w:cs="Courier New" w:hint="default"/>
      </w:rPr>
    </w:lvl>
    <w:lvl w:ilvl="8" w:tplc="08090005" w:tentative="1">
      <w:start w:val="1"/>
      <w:numFmt w:val="bullet"/>
      <w:lvlText w:val=""/>
      <w:lvlJc w:val="left"/>
      <w:pPr>
        <w:ind w:left="6481" w:hanging="360"/>
      </w:pPr>
      <w:rPr>
        <w:rFonts w:ascii="Wingdings" w:hAnsi="Wingdings" w:hint="default"/>
      </w:rPr>
    </w:lvl>
  </w:abstractNum>
  <w:abstractNum w:abstractNumId="7">
    <w:nsid w:val="154A7577"/>
    <w:multiLevelType w:val="hybridMultilevel"/>
    <w:tmpl w:val="09847C22"/>
    <w:lvl w:ilvl="0" w:tplc="4560E536">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8937FA"/>
    <w:multiLevelType w:val="multilevel"/>
    <w:tmpl w:val="4D1CC1B4"/>
    <w:lvl w:ilvl="0">
      <w:start w:val="3"/>
      <w:numFmt w:val="decimal"/>
      <w:lvlText w:val="%1."/>
      <w:lvlJc w:val="left"/>
      <w:pPr>
        <w:ind w:left="540" w:hanging="540"/>
      </w:pPr>
      <w:rPr>
        <w:rFonts w:hint="default"/>
      </w:rPr>
    </w:lvl>
    <w:lvl w:ilvl="1">
      <w:start w:val="4"/>
      <w:numFmt w:val="decimal"/>
      <w:lvlText w:val="%1.%2."/>
      <w:lvlJc w:val="left"/>
      <w:pPr>
        <w:ind w:left="1080" w:hanging="54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
    <w:nsid w:val="191976FC"/>
    <w:multiLevelType w:val="hybridMultilevel"/>
    <w:tmpl w:val="E0885A4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704923"/>
    <w:multiLevelType w:val="hybridMultilevel"/>
    <w:tmpl w:val="9B42B2DC"/>
    <w:lvl w:ilvl="0" w:tplc="04090001">
      <w:start w:val="1"/>
      <w:numFmt w:val="bullet"/>
      <w:lvlText w:val=""/>
      <w:lvlJc w:val="left"/>
      <w:pPr>
        <w:ind w:left="706" w:hanging="360"/>
      </w:pPr>
      <w:rPr>
        <w:rFonts w:ascii="Symbol" w:hAnsi="Symbol" w:hint="default"/>
      </w:rPr>
    </w:lvl>
    <w:lvl w:ilvl="1" w:tplc="04090003" w:tentative="1">
      <w:start w:val="1"/>
      <w:numFmt w:val="bullet"/>
      <w:lvlText w:val="o"/>
      <w:lvlJc w:val="left"/>
      <w:pPr>
        <w:ind w:left="1426" w:hanging="360"/>
      </w:pPr>
      <w:rPr>
        <w:rFonts w:ascii="Courier New" w:hAnsi="Courier New" w:cs="Courier New" w:hint="default"/>
      </w:rPr>
    </w:lvl>
    <w:lvl w:ilvl="2" w:tplc="04090005" w:tentative="1">
      <w:start w:val="1"/>
      <w:numFmt w:val="bullet"/>
      <w:lvlText w:val=""/>
      <w:lvlJc w:val="left"/>
      <w:pPr>
        <w:ind w:left="2146" w:hanging="360"/>
      </w:pPr>
      <w:rPr>
        <w:rFonts w:ascii="Wingdings" w:hAnsi="Wingdings" w:hint="default"/>
      </w:rPr>
    </w:lvl>
    <w:lvl w:ilvl="3" w:tplc="04090001" w:tentative="1">
      <w:start w:val="1"/>
      <w:numFmt w:val="bullet"/>
      <w:lvlText w:val=""/>
      <w:lvlJc w:val="left"/>
      <w:pPr>
        <w:ind w:left="2866" w:hanging="360"/>
      </w:pPr>
      <w:rPr>
        <w:rFonts w:ascii="Symbol" w:hAnsi="Symbol" w:hint="default"/>
      </w:rPr>
    </w:lvl>
    <w:lvl w:ilvl="4" w:tplc="04090003" w:tentative="1">
      <w:start w:val="1"/>
      <w:numFmt w:val="bullet"/>
      <w:lvlText w:val="o"/>
      <w:lvlJc w:val="left"/>
      <w:pPr>
        <w:ind w:left="3586" w:hanging="360"/>
      </w:pPr>
      <w:rPr>
        <w:rFonts w:ascii="Courier New" w:hAnsi="Courier New" w:cs="Courier New" w:hint="default"/>
      </w:rPr>
    </w:lvl>
    <w:lvl w:ilvl="5" w:tplc="04090005" w:tentative="1">
      <w:start w:val="1"/>
      <w:numFmt w:val="bullet"/>
      <w:lvlText w:val=""/>
      <w:lvlJc w:val="left"/>
      <w:pPr>
        <w:ind w:left="4306" w:hanging="360"/>
      </w:pPr>
      <w:rPr>
        <w:rFonts w:ascii="Wingdings" w:hAnsi="Wingdings" w:hint="default"/>
      </w:rPr>
    </w:lvl>
    <w:lvl w:ilvl="6" w:tplc="04090001" w:tentative="1">
      <w:start w:val="1"/>
      <w:numFmt w:val="bullet"/>
      <w:lvlText w:val=""/>
      <w:lvlJc w:val="left"/>
      <w:pPr>
        <w:ind w:left="5026" w:hanging="360"/>
      </w:pPr>
      <w:rPr>
        <w:rFonts w:ascii="Symbol" w:hAnsi="Symbol" w:hint="default"/>
      </w:rPr>
    </w:lvl>
    <w:lvl w:ilvl="7" w:tplc="04090003" w:tentative="1">
      <w:start w:val="1"/>
      <w:numFmt w:val="bullet"/>
      <w:lvlText w:val="o"/>
      <w:lvlJc w:val="left"/>
      <w:pPr>
        <w:ind w:left="5746" w:hanging="360"/>
      </w:pPr>
      <w:rPr>
        <w:rFonts w:ascii="Courier New" w:hAnsi="Courier New" w:cs="Courier New" w:hint="default"/>
      </w:rPr>
    </w:lvl>
    <w:lvl w:ilvl="8" w:tplc="04090005" w:tentative="1">
      <w:start w:val="1"/>
      <w:numFmt w:val="bullet"/>
      <w:lvlText w:val=""/>
      <w:lvlJc w:val="left"/>
      <w:pPr>
        <w:ind w:left="6466" w:hanging="360"/>
      </w:pPr>
      <w:rPr>
        <w:rFonts w:ascii="Wingdings" w:hAnsi="Wingdings" w:hint="default"/>
      </w:rPr>
    </w:lvl>
  </w:abstractNum>
  <w:abstractNum w:abstractNumId="11">
    <w:nsid w:val="1BCF77D2"/>
    <w:multiLevelType w:val="hybridMultilevel"/>
    <w:tmpl w:val="08C6E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26771C9"/>
    <w:multiLevelType w:val="hybridMultilevel"/>
    <w:tmpl w:val="9E2EE974"/>
    <w:lvl w:ilvl="0" w:tplc="137A97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3D09BA"/>
    <w:multiLevelType w:val="hybridMultilevel"/>
    <w:tmpl w:val="98BABE34"/>
    <w:lvl w:ilvl="0" w:tplc="04090001">
      <w:start w:val="1"/>
      <w:numFmt w:val="bullet"/>
      <w:lvlText w:val=""/>
      <w:lvlJc w:val="left"/>
      <w:pPr>
        <w:ind w:left="721" w:hanging="360"/>
      </w:pPr>
      <w:rPr>
        <w:rFonts w:ascii="Symbol" w:hAnsi="Symbol" w:hint="default"/>
      </w:rPr>
    </w:lvl>
    <w:lvl w:ilvl="1" w:tplc="04090003" w:tentative="1">
      <w:start w:val="1"/>
      <w:numFmt w:val="bullet"/>
      <w:lvlText w:val="o"/>
      <w:lvlJc w:val="left"/>
      <w:pPr>
        <w:ind w:left="1441" w:hanging="360"/>
      </w:pPr>
      <w:rPr>
        <w:rFonts w:ascii="Courier New" w:hAnsi="Courier New" w:cs="Courier New" w:hint="default"/>
      </w:rPr>
    </w:lvl>
    <w:lvl w:ilvl="2" w:tplc="04090005" w:tentative="1">
      <w:start w:val="1"/>
      <w:numFmt w:val="bullet"/>
      <w:lvlText w:val=""/>
      <w:lvlJc w:val="left"/>
      <w:pPr>
        <w:ind w:left="2161" w:hanging="360"/>
      </w:pPr>
      <w:rPr>
        <w:rFonts w:ascii="Wingdings" w:hAnsi="Wingdings" w:hint="default"/>
      </w:rPr>
    </w:lvl>
    <w:lvl w:ilvl="3" w:tplc="04090001" w:tentative="1">
      <w:start w:val="1"/>
      <w:numFmt w:val="bullet"/>
      <w:lvlText w:val=""/>
      <w:lvlJc w:val="left"/>
      <w:pPr>
        <w:ind w:left="2881" w:hanging="360"/>
      </w:pPr>
      <w:rPr>
        <w:rFonts w:ascii="Symbol" w:hAnsi="Symbol" w:hint="default"/>
      </w:rPr>
    </w:lvl>
    <w:lvl w:ilvl="4" w:tplc="04090003" w:tentative="1">
      <w:start w:val="1"/>
      <w:numFmt w:val="bullet"/>
      <w:lvlText w:val="o"/>
      <w:lvlJc w:val="left"/>
      <w:pPr>
        <w:ind w:left="3601" w:hanging="360"/>
      </w:pPr>
      <w:rPr>
        <w:rFonts w:ascii="Courier New" w:hAnsi="Courier New" w:cs="Courier New" w:hint="default"/>
      </w:rPr>
    </w:lvl>
    <w:lvl w:ilvl="5" w:tplc="04090005" w:tentative="1">
      <w:start w:val="1"/>
      <w:numFmt w:val="bullet"/>
      <w:lvlText w:val=""/>
      <w:lvlJc w:val="left"/>
      <w:pPr>
        <w:ind w:left="4321" w:hanging="360"/>
      </w:pPr>
      <w:rPr>
        <w:rFonts w:ascii="Wingdings" w:hAnsi="Wingdings" w:hint="default"/>
      </w:rPr>
    </w:lvl>
    <w:lvl w:ilvl="6" w:tplc="04090001" w:tentative="1">
      <w:start w:val="1"/>
      <w:numFmt w:val="bullet"/>
      <w:lvlText w:val=""/>
      <w:lvlJc w:val="left"/>
      <w:pPr>
        <w:ind w:left="5041" w:hanging="360"/>
      </w:pPr>
      <w:rPr>
        <w:rFonts w:ascii="Symbol" w:hAnsi="Symbol" w:hint="default"/>
      </w:rPr>
    </w:lvl>
    <w:lvl w:ilvl="7" w:tplc="04090003" w:tentative="1">
      <w:start w:val="1"/>
      <w:numFmt w:val="bullet"/>
      <w:lvlText w:val="o"/>
      <w:lvlJc w:val="left"/>
      <w:pPr>
        <w:ind w:left="5761" w:hanging="360"/>
      </w:pPr>
      <w:rPr>
        <w:rFonts w:ascii="Courier New" w:hAnsi="Courier New" w:cs="Courier New" w:hint="default"/>
      </w:rPr>
    </w:lvl>
    <w:lvl w:ilvl="8" w:tplc="04090005" w:tentative="1">
      <w:start w:val="1"/>
      <w:numFmt w:val="bullet"/>
      <w:lvlText w:val=""/>
      <w:lvlJc w:val="left"/>
      <w:pPr>
        <w:ind w:left="6481" w:hanging="360"/>
      </w:pPr>
      <w:rPr>
        <w:rFonts w:ascii="Wingdings" w:hAnsi="Wingdings" w:hint="default"/>
      </w:rPr>
    </w:lvl>
  </w:abstractNum>
  <w:abstractNum w:abstractNumId="14">
    <w:nsid w:val="23E3773C"/>
    <w:multiLevelType w:val="hybridMultilevel"/>
    <w:tmpl w:val="FC0A90A6"/>
    <w:lvl w:ilvl="0" w:tplc="041C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4434A67"/>
    <w:multiLevelType w:val="hybridMultilevel"/>
    <w:tmpl w:val="B9E2CA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4D66457"/>
    <w:multiLevelType w:val="multilevel"/>
    <w:tmpl w:val="BB0AF75C"/>
    <w:lvl w:ilvl="0">
      <w:start w:val="1"/>
      <w:numFmt w:val="decimal"/>
      <w:lvlText w:val="%1."/>
      <w:lvlJc w:val="left"/>
      <w:pPr>
        <w:ind w:left="420" w:hanging="420"/>
      </w:pPr>
      <w:rPr>
        <w:rFonts w:hint="default"/>
      </w:rPr>
    </w:lvl>
    <w:lvl w:ilvl="1">
      <w:start w:val="1"/>
      <w:numFmt w:val="decimal"/>
      <w:pStyle w:val="Heading2"/>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26425C75"/>
    <w:multiLevelType w:val="hybridMultilevel"/>
    <w:tmpl w:val="9D74D806"/>
    <w:lvl w:ilvl="0" w:tplc="04090001">
      <w:start w:val="1"/>
      <w:numFmt w:val="bullet"/>
      <w:lvlText w:val=""/>
      <w:lvlJc w:val="left"/>
      <w:pPr>
        <w:ind w:left="706" w:hanging="360"/>
      </w:pPr>
      <w:rPr>
        <w:rFonts w:ascii="Symbol" w:hAnsi="Symbol" w:hint="default"/>
      </w:rPr>
    </w:lvl>
    <w:lvl w:ilvl="1" w:tplc="04090003" w:tentative="1">
      <w:start w:val="1"/>
      <w:numFmt w:val="bullet"/>
      <w:lvlText w:val="o"/>
      <w:lvlJc w:val="left"/>
      <w:pPr>
        <w:ind w:left="1426" w:hanging="360"/>
      </w:pPr>
      <w:rPr>
        <w:rFonts w:ascii="Courier New" w:hAnsi="Courier New" w:cs="Courier New" w:hint="default"/>
      </w:rPr>
    </w:lvl>
    <w:lvl w:ilvl="2" w:tplc="04090005" w:tentative="1">
      <w:start w:val="1"/>
      <w:numFmt w:val="bullet"/>
      <w:lvlText w:val=""/>
      <w:lvlJc w:val="left"/>
      <w:pPr>
        <w:ind w:left="2146" w:hanging="360"/>
      </w:pPr>
      <w:rPr>
        <w:rFonts w:ascii="Wingdings" w:hAnsi="Wingdings" w:hint="default"/>
      </w:rPr>
    </w:lvl>
    <w:lvl w:ilvl="3" w:tplc="04090001" w:tentative="1">
      <w:start w:val="1"/>
      <w:numFmt w:val="bullet"/>
      <w:lvlText w:val=""/>
      <w:lvlJc w:val="left"/>
      <w:pPr>
        <w:ind w:left="2866" w:hanging="360"/>
      </w:pPr>
      <w:rPr>
        <w:rFonts w:ascii="Symbol" w:hAnsi="Symbol" w:hint="default"/>
      </w:rPr>
    </w:lvl>
    <w:lvl w:ilvl="4" w:tplc="04090003" w:tentative="1">
      <w:start w:val="1"/>
      <w:numFmt w:val="bullet"/>
      <w:lvlText w:val="o"/>
      <w:lvlJc w:val="left"/>
      <w:pPr>
        <w:ind w:left="3586" w:hanging="360"/>
      </w:pPr>
      <w:rPr>
        <w:rFonts w:ascii="Courier New" w:hAnsi="Courier New" w:cs="Courier New" w:hint="default"/>
      </w:rPr>
    </w:lvl>
    <w:lvl w:ilvl="5" w:tplc="04090005" w:tentative="1">
      <w:start w:val="1"/>
      <w:numFmt w:val="bullet"/>
      <w:lvlText w:val=""/>
      <w:lvlJc w:val="left"/>
      <w:pPr>
        <w:ind w:left="4306" w:hanging="360"/>
      </w:pPr>
      <w:rPr>
        <w:rFonts w:ascii="Wingdings" w:hAnsi="Wingdings" w:hint="default"/>
      </w:rPr>
    </w:lvl>
    <w:lvl w:ilvl="6" w:tplc="04090001" w:tentative="1">
      <w:start w:val="1"/>
      <w:numFmt w:val="bullet"/>
      <w:lvlText w:val=""/>
      <w:lvlJc w:val="left"/>
      <w:pPr>
        <w:ind w:left="5026" w:hanging="360"/>
      </w:pPr>
      <w:rPr>
        <w:rFonts w:ascii="Symbol" w:hAnsi="Symbol" w:hint="default"/>
      </w:rPr>
    </w:lvl>
    <w:lvl w:ilvl="7" w:tplc="04090003" w:tentative="1">
      <w:start w:val="1"/>
      <w:numFmt w:val="bullet"/>
      <w:lvlText w:val="o"/>
      <w:lvlJc w:val="left"/>
      <w:pPr>
        <w:ind w:left="5746" w:hanging="360"/>
      </w:pPr>
      <w:rPr>
        <w:rFonts w:ascii="Courier New" w:hAnsi="Courier New" w:cs="Courier New" w:hint="default"/>
      </w:rPr>
    </w:lvl>
    <w:lvl w:ilvl="8" w:tplc="04090005" w:tentative="1">
      <w:start w:val="1"/>
      <w:numFmt w:val="bullet"/>
      <w:lvlText w:val=""/>
      <w:lvlJc w:val="left"/>
      <w:pPr>
        <w:ind w:left="6466" w:hanging="360"/>
      </w:pPr>
      <w:rPr>
        <w:rFonts w:ascii="Wingdings" w:hAnsi="Wingdings" w:hint="default"/>
      </w:rPr>
    </w:lvl>
  </w:abstractNum>
  <w:abstractNum w:abstractNumId="18">
    <w:nsid w:val="26816164"/>
    <w:multiLevelType w:val="hybridMultilevel"/>
    <w:tmpl w:val="E780AC92"/>
    <w:lvl w:ilvl="0" w:tplc="FBEE6E04">
      <w:numFmt w:val="bullet"/>
      <w:lvlText w:val="-"/>
      <w:lvlJc w:val="left"/>
      <w:pPr>
        <w:ind w:left="720" w:hanging="360"/>
      </w:pPr>
      <w:rPr>
        <w:rFonts w:ascii="Open Sans Condensed Light" w:eastAsia="Calibri" w:hAnsi="Open Sans Condensed Light" w:cs="Open Sans Condensed Light"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BC977DE"/>
    <w:multiLevelType w:val="multilevel"/>
    <w:tmpl w:val="8BA472EC"/>
    <w:lvl w:ilvl="0">
      <w:start w:val="2"/>
      <w:numFmt w:val="decimal"/>
      <w:lvlText w:val="%1."/>
      <w:lvlJc w:val="left"/>
      <w:pPr>
        <w:ind w:left="720" w:hanging="720"/>
      </w:pPr>
      <w:rPr>
        <w:rFonts w:hint="default"/>
      </w:rPr>
    </w:lvl>
    <w:lvl w:ilvl="1">
      <w:start w:val="2"/>
      <w:numFmt w:val="decimal"/>
      <w:lvlText w:val="%1.%2."/>
      <w:lvlJc w:val="left"/>
      <w:pPr>
        <w:ind w:left="1320" w:hanging="720"/>
      </w:pPr>
      <w:rPr>
        <w:rFonts w:hint="default"/>
      </w:rPr>
    </w:lvl>
    <w:lvl w:ilvl="2">
      <w:start w:val="2"/>
      <w:numFmt w:val="decimal"/>
      <w:lvlText w:val="%1.%2.%3."/>
      <w:lvlJc w:val="left"/>
      <w:pPr>
        <w:ind w:left="1920" w:hanging="720"/>
      </w:pPr>
      <w:rPr>
        <w:rFonts w:hint="default"/>
      </w:rPr>
    </w:lvl>
    <w:lvl w:ilvl="3">
      <w:start w:val="2"/>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0">
    <w:nsid w:val="2CCD6BF5"/>
    <w:multiLevelType w:val="hybridMultilevel"/>
    <w:tmpl w:val="90C2C728"/>
    <w:lvl w:ilvl="0" w:tplc="BFF838AE">
      <w:start w:val="1"/>
      <w:numFmt w:val="bullet"/>
      <w:pStyle w:val="BoxBullet"/>
      <w:lvlText w:val=""/>
      <w:lvlJc w:val="left"/>
      <w:pPr>
        <w:ind w:left="720" w:hanging="360"/>
      </w:pPr>
      <w:rPr>
        <w:rFonts w:ascii="Symbol" w:hAnsi="Symbol" w:hint="default"/>
        <w:color w:val="943634" w:themeColor="accent2" w:themeShade="BF"/>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42B0601"/>
    <w:multiLevelType w:val="hybridMultilevel"/>
    <w:tmpl w:val="10C0EEB4"/>
    <w:lvl w:ilvl="0" w:tplc="35766A02">
      <w:start w:val="1"/>
      <w:numFmt w:val="decimal"/>
      <w:pStyle w:val="Body"/>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8FA07D8"/>
    <w:multiLevelType w:val="hybridMultilevel"/>
    <w:tmpl w:val="446A0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E4D4914"/>
    <w:multiLevelType w:val="hybridMultilevel"/>
    <w:tmpl w:val="B0F2ABDC"/>
    <w:lvl w:ilvl="0" w:tplc="A2CC0B4C">
      <w:start w:val="1"/>
      <w:numFmt w:val="bullet"/>
      <w:lvlText w:val="•"/>
      <w:lvlJc w:val="left"/>
      <w:pPr>
        <w:ind w:left="72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9C42296C">
      <w:start w:val="1"/>
      <w:numFmt w:val="bullet"/>
      <w:lvlText w:val="o"/>
      <w:lvlJc w:val="left"/>
      <w:pPr>
        <w:ind w:left="1442"/>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2" w:tplc="990E2DE0">
      <w:start w:val="1"/>
      <w:numFmt w:val="bullet"/>
      <w:lvlText w:val="▪"/>
      <w:lvlJc w:val="left"/>
      <w:pPr>
        <w:ind w:left="2162"/>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3" w:tplc="5FDE5BA6">
      <w:start w:val="1"/>
      <w:numFmt w:val="bullet"/>
      <w:lvlText w:val="•"/>
      <w:lvlJc w:val="left"/>
      <w:pPr>
        <w:ind w:left="288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4DA629DC">
      <w:start w:val="1"/>
      <w:numFmt w:val="bullet"/>
      <w:lvlText w:val="o"/>
      <w:lvlJc w:val="left"/>
      <w:pPr>
        <w:ind w:left="3602"/>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5" w:tplc="59489D26">
      <w:start w:val="1"/>
      <w:numFmt w:val="bullet"/>
      <w:lvlText w:val="▪"/>
      <w:lvlJc w:val="left"/>
      <w:pPr>
        <w:ind w:left="4322"/>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6" w:tplc="59FC762A">
      <w:start w:val="1"/>
      <w:numFmt w:val="bullet"/>
      <w:lvlText w:val="•"/>
      <w:lvlJc w:val="left"/>
      <w:pPr>
        <w:ind w:left="504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B2BC6E6E">
      <w:start w:val="1"/>
      <w:numFmt w:val="bullet"/>
      <w:lvlText w:val="o"/>
      <w:lvlJc w:val="left"/>
      <w:pPr>
        <w:ind w:left="5762"/>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8" w:tplc="0E8458A0">
      <w:start w:val="1"/>
      <w:numFmt w:val="bullet"/>
      <w:lvlText w:val="▪"/>
      <w:lvlJc w:val="left"/>
      <w:pPr>
        <w:ind w:left="6482"/>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abstractNum>
  <w:abstractNum w:abstractNumId="24">
    <w:nsid w:val="43D331F9"/>
    <w:multiLevelType w:val="hybridMultilevel"/>
    <w:tmpl w:val="99D2A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3EF6593"/>
    <w:multiLevelType w:val="hybridMultilevel"/>
    <w:tmpl w:val="D0083B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5F347A2"/>
    <w:multiLevelType w:val="hybridMultilevel"/>
    <w:tmpl w:val="9E6E4C52"/>
    <w:lvl w:ilvl="0" w:tplc="900A4B0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4C330E40"/>
    <w:multiLevelType w:val="hybridMultilevel"/>
    <w:tmpl w:val="3C52A8C4"/>
    <w:lvl w:ilvl="0" w:tplc="04090001">
      <w:start w:val="1"/>
      <w:numFmt w:val="bullet"/>
      <w:lvlText w:val=""/>
      <w:lvlJc w:val="left"/>
      <w:pPr>
        <w:ind w:left="720" w:hanging="360"/>
      </w:pPr>
      <w:rPr>
        <w:rFonts w:ascii="Symbol" w:hAnsi="Symbol" w:hint="default"/>
      </w:rPr>
    </w:lvl>
    <w:lvl w:ilvl="1" w:tplc="E26A79A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D2F3F52"/>
    <w:multiLevelType w:val="hybridMultilevel"/>
    <w:tmpl w:val="CBD8C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3342ADF"/>
    <w:multiLevelType w:val="hybridMultilevel"/>
    <w:tmpl w:val="D3A648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92A7663"/>
    <w:multiLevelType w:val="hybridMultilevel"/>
    <w:tmpl w:val="E91C9C4A"/>
    <w:lvl w:ilvl="0" w:tplc="04090001">
      <w:start w:val="1"/>
      <w:numFmt w:val="bullet"/>
      <w:lvlText w:val=""/>
      <w:lvlJc w:val="left"/>
      <w:pPr>
        <w:ind w:left="706" w:hanging="360"/>
      </w:pPr>
      <w:rPr>
        <w:rFonts w:ascii="Symbol" w:hAnsi="Symbol" w:hint="default"/>
      </w:rPr>
    </w:lvl>
    <w:lvl w:ilvl="1" w:tplc="04090003" w:tentative="1">
      <w:start w:val="1"/>
      <w:numFmt w:val="bullet"/>
      <w:lvlText w:val="o"/>
      <w:lvlJc w:val="left"/>
      <w:pPr>
        <w:ind w:left="1426" w:hanging="360"/>
      </w:pPr>
      <w:rPr>
        <w:rFonts w:ascii="Courier New" w:hAnsi="Courier New" w:cs="Courier New" w:hint="default"/>
      </w:rPr>
    </w:lvl>
    <w:lvl w:ilvl="2" w:tplc="04090005" w:tentative="1">
      <w:start w:val="1"/>
      <w:numFmt w:val="bullet"/>
      <w:lvlText w:val=""/>
      <w:lvlJc w:val="left"/>
      <w:pPr>
        <w:ind w:left="2146" w:hanging="360"/>
      </w:pPr>
      <w:rPr>
        <w:rFonts w:ascii="Wingdings" w:hAnsi="Wingdings" w:hint="default"/>
      </w:rPr>
    </w:lvl>
    <w:lvl w:ilvl="3" w:tplc="04090001" w:tentative="1">
      <w:start w:val="1"/>
      <w:numFmt w:val="bullet"/>
      <w:lvlText w:val=""/>
      <w:lvlJc w:val="left"/>
      <w:pPr>
        <w:ind w:left="2866" w:hanging="360"/>
      </w:pPr>
      <w:rPr>
        <w:rFonts w:ascii="Symbol" w:hAnsi="Symbol" w:hint="default"/>
      </w:rPr>
    </w:lvl>
    <w:lvl w:ilvl="4" w:tplc="04090003" w:tentative="1">
      <w:start w:val="1"/>
      <w:numFmt w:val="bullet"/>
      <w:lvlText w:val="o"/>
      <w:lvlJc w:val="left"/>
      <w:pPr>
        <w:ind w:left="3586" w:hanging="360"/>
      </w:pPr>
      <w:rPr>
        <w:rFonts w:ascii="Courier New" w:hAnsi="Courier New" w:cs="Courier New" w:hint="default"/>
      </w:rPr>
    </w:lvl>
    <w:lvl w:ilvl="5" w:tplc="04090005" w:tentative="1">
      <w:start w:val="1"/>
      <w:numFmt w:val="bullet"/>
      <w:lvlText w:val=""/>
      <w:lvlJc w:val="left"/>
      <w:pPr>
        <w:ind w:left="4306" w:hanging="360"/>
      </w:pPr>
      <w:rPr>
        <w:rFonts w:ascii="Wingdings" w:hAnsi="Wingdings" w:hint="default"/>
      </w:rPr>
    </w:lvl>
    <w:lvl w:ilvl="6" w:tplc="04090001" w:tentative="1">
      <w:start w:val="1"/>
      <w:numFmt w:val="bullet"/>
      <w:lvlText w:val=""/>
      <w:lvlJc w:val="left"/>
      <w:pPr>
        <w:ind w:left="5026" w:hanging="360"/>
      </w:pPr>
      <w:rPr>
        <w:rFonts w:ascii="Symbol" w:hAnsi="Symbol" w:hint="default"/>
      </w:rPr>
    </w:lvl>
    <w:lvl w:ilvl="7" w:tplc="04090003" w:tentative="1">
      <w:start w:val="1"/>
      <w:numFmt w:val="bullet"/>
      <w:lvlText w:val="o"/>
      <w:lvlJc w:val="left"/>
      <w:pPr>
        <w:ind w:left="5746" w:hanging="360"/>
      </w:pPr>
      <w:rPr>
        <w:rFonts w:ascii="Courier New" w:hAnsi="Courier New" w:cs="Courier New" w:hint="default"/>
      </w:rPr>
    </w:lvl>
    <w:lvl w:ilvl="8" w:tplc="04090005" w:tentative="1">
      <w:start w:val="1"/>
      <w:numFmt w:val="bullet"/>
      <w:lvlText w:val=""/>
      <w:lvlJc w:val="left"/>
      <w:pPr>
        <w:ind w:left="6466" w:hanging="360"/>
      </w:pPr>
      <w:rPr>
        <w:rFonts w:ascii="Wingdings" w:hAnsi="Wingdings" w:hint="default"/>
      </w:rPr>
    </w:lvl>
  </w:abstractNum>
  <w:abstractNum w:abstractNumId="31">
    <w:nsid w:val="59D4647C"/>
    <w:multiLevelType w:val="multilevel"/>
    <w:tmpl w:val="61FEE506"/>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08B72A1"/>
    <w:multiLevelType w:val="hybridMultilevel"/>
    <w:tmpl w:val="BF4089EE"/>
    <w:lvl w:ilvl="0" w:tplc="A43E7138">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2FE71ED"/>
    <w:multiLevelType w:val="hybridMultilevel"/>
    <w:tmpl w:val="39B651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66DF4EDB"/>
    <w:multiLevelType w:val="multilevel"/>
    <w:tmpl w:val="167007B6"/>
    <w:lvl w:ilvl="0">
      <w:start w:val="1"/>
      <w:numFmt w:val="bullet"/>
      <w:pStyle w:val="list-bullet-color"/>
      <w:lvlText w:val=""/>
      <w:lvlJc w:val="left"/>
      <w:pPr>
        <w:ind w:left="284" w:hanging="284"/>
      </w:pPr>
      <w:rPr>
        <w:rFonts w:ascii="Symbol" w:hAnsi="Symbol" w:hint="default"/>
        <w:color w:val="006DB6"/>
      </w:rPr>
    </w:lvl>
    <w:lvl w:ilvl="1">
      <w:start w:val="1"/>
      <w:numFmt w:val="bullet"/>
      <w:lvlText w:val="-"/>
      <w:lvlJc w:val="left"/>
      <w:pPr>
        <w:ind w:left="568" w:hanging="284"/>
      </w:pPr>
      <w:rPr>
        <w:rFonts w:ascii="Arial" w:hAnsi="Arial" w:cs="Times New Roman" w:hint="default"/>
        <w:color w:val="006DB6"/>
      </w:rPr>
    </w:lvl>
    <w:lvl w:ilvl="2">
      <w:start w:val="1"/>
      <w:numFmt w:val="bullet"/>
      <w:lvlText w:val=""/>
      <w:lvlJc w:val="left"/>
      <w:pPr>
        <w:ind w:left="852" w:hanging="284"/>
      </w:pPr>
      <w:rPr>
        <w:rFonts w:ascii="Symbol" w:hAnsi="Symbol" w:hint="default"/>
        <w:color w:val="006DB6"/>
      </w:rPr>
    </w:lvl>
    <w:lvl w:ilvl="3">
      <w:start w:val="1"/>
      <w:numFmt w:val="bullet"/>
      <w:lvlText w:val="-"/>
      <w:lvlJc w:val="left"/>
      <w:pPr>
        <w:ind w:left="1136" w:hanging="284"/>
      </w:pPr>
      <w:rPr>
        <w:rFonts w:ascii="Arial" w:hAnsi="Arial" w:cs="Times New Roman" w:hint="default"/>
        <w:color w:val="006DB6"/>
      </w:rPr>
    </w:lvl>
    <w:lvl w:ilvl="4">
      <w:start w:val="1"/>
      <w:numFmt w:val="bullet"/>
      <w:lvlText w:val=""/>
      <w:lvlJc w:val="left"/>
      <w:pPr>
        <w:ind w:left="1420" w:hanging="284"/>
      </w:pPr>
      <w:rPr>
        <w:rFonts w:ascii="Symbol" w:hAnsi="Symbol" w:hint="default"/>
        <w:color w:val="006DB6"/>
      </w:rPr>
    </w:lvl>
    <w:lvl w:ilvl="5">
      <w:start w:val="1"/>
      <w:numFmt w:val="bullet"/>
      <w:lvlText w:val="-"/>
      <w:lvlJc w:val="left"/>
      <w:pPr>
        <w:ind w:left="1704" w:hanging="284"/>
      </w:pPr>
      <w:rPr>
        <w:rFonts w:ascii="Arial" w:hAnsi="Arial" w:cs="Times New Roman" w:hint="default"/>
        <w:color w:val="006DB6"/>
      </w:rPr>
    </w:lvl>
    <w:lvl w:ilvl="6">
      <w:start w:val="1"/>
      <w:numFmt w:val="bullet"/>
      <w:lvlText w:val=""/>
      <w:lvlJc w:val="left"/>
      <w:pPr>
        <w:ind w:left="1988" w:hanging="284"/>
      </w:pPr>
      <w:rPr>
        <w:rFonts w:ascii="Symbol" w:hAnsi="Symbol" w:hint="default"/>
        <w:color w:val="006DB6"/>
      </w:rPr>
    </w:lvl>
    <w:lvl w:ilvl="7">
      <w:start w:val="1"/>
      <w:numFmt w:val="bullet"/>
      <w:lvlText w:val="-"/>
      <w:lvlJc w:val="left"/>
      <w:pPr>
        <w:ind w:left="2272" w:hanging="284"/>
      </w:pPr>
      <w:rPr>
        <w:rFonts w:ascii="Arial" w:hAnsi="Arial" w:cs="Times New Roman" w:hint="default"/>
        <w:color w:val="006DB6"/>
      </w:rPr>
    </w:lvl>
    <w:lvl w:ilvl="8">
      <w:start w:val="1"/>
      <w:numFmt w:val="bullet"/>
      <w:lvlText w:val=""/>
      <w:lvlJc w:val="left"/>
      <w:pPr>
        <w:ind w:left="2556" w:hanging="284"/>
      </w:pPr>
      <w:rPr>
        <w:rFonts w:ascii="Symbol" w:hAnsi="Symbol" w:hint="default"/>
        <w:color w:val="006DB6"/>
      </w:rPr>
    </w:lvl>
  </w:abstractNum>
  <w:abstractNum w:abstractNumId="35">
    <w:nsid w:val="6A1565C3"/>
    <w:multiLevelType w:val="hybridMultilevel"/>
    <w:tmpl w:val="6ACA2EB6"/>
    <w:lvl w:ilvl="0" w:tplc="EF08A168">
      <w:start w:val="1"/>
      <w:numFmt w:val="bullet"/>
      <w:lvlText w:val="-"/>
      <w:lvlJc w:val="left"/>
      <w:pPr>
        <w:ind w:left="720" w:hanging="360"/>
      </w:pPr>
      <w:rPr>
        <w:rFonts w:ascii="Garamond" w:eastAsia="Calibri" w:hAnsi="Garamond" w:cs="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BBD1354"/>
    <w:multiLevelType w:val="hybridMultilevel"/>
    <w:tmpl w:val="54F0E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26E39B0"/>
    <w:multiLevelType w:val="hybridMultilevel"/>
    <w:tmpl w:val="6AC81470"/>
    <w:lvl w:ilvl="0" w:tplc="812C0EA8">
      <w:start w:val="1"/>
      <w:numFmt w:val="decimal"/>
      <w:lvlText w:val="%1."/>
      <w:lvlJc w:val="left"/>
      <w:pPr>
        <w:ind w:left="720" w:hanging="360"/>
      </w:pPr>
      <w:rPr>
        <w:b/>
      </w:rPr>
    </w:lvl>
    <w:lvl w:ilvl="1" w:tplc="041C0019" w:tentative="1">
      <w:start w:val="1"/>
      <w:numFmt w:val="lowerLetter"/>
      <w:lvlText w:val="%2."/>
      <w:lvlJc w:val="left"/>
      <w:pPr>
        <w:ind w:left="1440" w:hanging="360"/>
      </w:pPr>
      <w:rPr>
        <w:rFonts w:cs="Times New Roman"/>
      </w:rPr>
    </w:lvl>
    <w:lvl w:ilvl="2" w:tplc="041C001B" w:tentative="1">
      <w:start w:val="1"/>
      <w:numFmt w:val="lowerRoman"/>
      <w:lvlText w:val="%3."/>
      <w:lvlJc w:val="right"/>
      <w:pPr>
        <w:ind w:left="2160" w:hanging="180"/>
      </w:pPr>
      <w:rPr>
        <w:rFonts w:cs="Times New Roman"/>
      </w:rPr>
    </w:lvl>
    <w:lvl w:ilvl="3" w:tplc="041C000F" w:tentative="1">
      <w:start w:val="1"/>
      <w:numFmt w:val="decimal"/>
      <w:lvlText w:val="%4."/>
      <w:lvlJc w:val="left"/>
      <w:pPr>
        <w:ind w:left="2880" w:hanging="360"/>
      </w:pPr>
      <w:rPr>
        <w:rFonts w:cs="Times New Roman"/>
      </w:rPr>
    </w:lvl>
    <w:lvl w:ilvl="4" w:tplc="041C0019" w:tentative="1">
      <w:start w:val="1"/>
      <w:numFmt w:val="lowerLetter"/>
      <w:lvlText w:val="%5."/>
      <w:lvlJc w:val="left"/>
      <w:pPr>
        <w:ind w:left="3600" w:hanging="360"/>
      </w:pPr>
      <w:rPr>
        <w:rFonts w:cs="Times New Roman"/>
      </w:rPr>
    </w:lvl>
    <w:lvl w:ilvl="5" w:tplc="041C001B" w:tentative="1">
      <w:start w:val="1"/>
      <w:numFmt w:val="lowerRoman"/>
      <w:lvlText w:val="%6."/>
      <w:lvlJc w:val="right"/>
      <w:pPr>
        <w:ind w:left="4320" w:hanging="180"/>
      </w:pPr>
      <w:rPr>
        <w:rFonts w:cs="Times New Roman"/>
      </w:rPr>
    </w:lvl>
    <w:lvl w:ilvl="6" w:tplc="041C000F" w:tentative="1">
      <w:start w:val="1"/>
      <w:numFmt w:val="decimal"/>
      <w:lvlText w:val="%7."/>
      <w:lvlJc w:val="left"/>
      <w:pPr>
        <w:ind w:left="5040" w:hanging="360"/>
      </w:pPr>
      <w:rPr>
        <w:rFonts w:cs="Times New Roman"/>
      </w:rPr>
    </w:lvl>
    <w:lvl w:ilvl="7" w:tplc="041C0019" w:tentative="1">
      <w:start w:val="1"/>
      <w:numFmt w:val="lowerLetter"/>
      <w:lvlText w:val="%8."/>
      <w:lvlJc w:val="left"/>
      <w:pPr>
        <w:ind w:left="5760" w:hanging="360"/>
      </w:pPr>
      <w:rPr>
        <w:rFonts w:cs="Times New Roman"/>
      </w:rPr>
    </w:lvl>
    <w:lvl w:ilvl="8" w:tplc="041C001B" w:tentative="1">
      <w:start w:val="1"/>
      <w:numFmt w:val="lowerRoman"/>
      <w:lvlText w:val="%9."/>
      <w:lvlJc w:val="right"/>
      <w:pPr>
        <w:ind w:left="6480" w:hanging="180"/>
      </w:pPr>
      <w:rPr>
        <w:rFonts w:cs="Times New Roman"/>
      </w:rPr>
    </w:lvl>
  </w:abstractNum>
  <w:abstractNum w:abstractNumId="38">
    <w:nsid w:val="78650BF7"/>
    <w:multiLevelType w:val="hybridMultilevel"/>
    <w:tmpl w:val="867E1186"/>
    <w:lvl w:ilvl="0" w:tplc="22825A4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4"/>
  </w:num>
  <w:num w:numId="2">
    <w:abstractNumId w:val="20"/>
  </w:num>
  <w:num w:numId="3">
    <w:abstractNumId w:val="21"/>
  </w:num>
  <w:num w:numId="4">
    <w:abstractNumId w:val="16"/>
  </w:num>
  <w:num w:numId="5">
    <w:abstractNumId w:val="32"/>
  </w:num>
  <w:num w:numId="6">
    <w:abstractNumId w:val="19"/>
  </w:num>
  <w:num w:numId="7">
    <w:abstractNumId w:val="31"/>
  </w:num>
  <w:num w:numId="8">
    <w:abstractNumId w:val="35"/>
  </w:num>
  <w:num w:numId="9">
    <w:abstractNumId w:val="2"/>
  </w:num>
  <w:num w:numId="10">
    <w:abstractNumId w:val="1"/>
  </w:num>
  <w:num w:numId="11">
    <w:abstractNumId w:val="38"/>
  </w:num>
  <w:num w:numId="12">
    <w:abstractNumId w:val="7"/>
  </w:num>
  <w:num w:numId="13">
    <w:abstractNumId w:val="29"/>
  </w:num>
  <w:num w:numId="14">
    <w:abstractNumId w:val="9"/>
  </w:num>
  <w:num w:numId="15">
    <w:abstractNumId w:val="18"/>
  </w:num>
  <w:num w:numId="16">
    <w:abstractNumId w:val="23"/>
  </w:num>
  <w:num w:numId="17">
    <w:abstractNumId w:val="10"/>
  </w:num>
  <w:num w:numId="18">
    <w:abstractNumId w:val="17"/>
  </w:num>
  <w:num w:numId="19">
    <w:abstractNumId w:val="13"/>
  </w:num>
  <w:num w:numId="20">
    <w:abstractNumId w:val="30"/>
  </w:num>
  <w:num w:numId="21">
    <w:abstractNumId w:val="26"/>
  </w:num>
  <w:num w:numId="22">
    <w:abstractNumId w:val="8"/>
  </w:num>
  <w:num w:numId="23">
    <w:abstractNumId w:val="37"/>
  </w:num>
  <w:num w:numId="24">
    <w:abstractNumId w:val="4"/>
  </w:num>
  <w:num w:numId="25">
    <w:abstractNumId w:val="36"/>
  </w:num>
  <w:num w:numId="26">
    <w:abstractNumId w:val="25"/>
  </w:num>
  <w:num w:numId="27">
    <w:abstractNumId w:val="27"/>
  </w:num>
  <w:num w:numId="28">
    <w:abstractNumId w:val="22"/>
  </w:num>
  <w:num w:numId="29">
    <w:abstractNumId w:val="28"/>
  </w:num>
  <w:num w:numId="30">
    <w:abstractNumId w:val="0"/>
  </w:num>
  <w:num w:numId="31">
    <w:abstractNumId w:val="11"/>
  </w:num>
  <w:num w:numId="32">
    <w:abstractNumId w:val="33"/>
  </w:num>
  <w:num w:numId="33">
    <w:abstractNumId w:val="24"/>
  </w:num>
  <w:num w:numId="34">
    <w:abstractNumId w:val="14"/>
  </w:num>
  <w:num w:numId="35">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num>
  <w:num w:numId="37">
    <w:abstractNumId w:val="6"/>
  </w:num>
  <w:num w:numId="38">
    <w:abstractNumId w:val="15"/>
  </w:num>
  <w:num w:numId="39">
    <w:abstractNumId w:val="3"/>
  </w:num>
  <w:num w:numId="40">
    <w:abstractNumId w:val="1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462"/>
    <w:rsid w:val="0008077D"/>
    <w:rsid w:val="000830C5"/>
    <w:rsid w:val="000F2F95"/>
    <w:rsid w:val="001709EF"/>
    <w:rsid w:val="00221487"/>
    <w:rsid w:val="00232274"/>
    <w:rsid w:val="00235E97"/>
    <w:rsid w:val="002B1D74"/>
    <w:rsid w:val="002D3DD4"/>
    <w:rsid w:val="00300D60"/>
    <w:rsid w:val="003769CF"/>
    <w:rsid w:val="00392C9E"/>
    <w:rsid w:val="003A1610"/>
    <w:rsid w:val="003C5A1B"/>
    <w:rsid w:val="004342D7"/>
    <w:rsid w:val="00490DDF"/>
    <w:rsid w:val="00497388"/>
    <w:rsid w:val="00526126"/>
    <w:rsid w:val="005B32A4"/>
    <w:rsid w:val="006953F7"/>
    <w:rsid w:val="006E7A35"/>
    <w:rsid w:val="007030C9"/>
    <w:rsid w:val="00732295"/>
    <w:rsid w:val="007808B9"/>
    <w:rsid w:val="007C6F79"/>
    <w:rsid w:val="00815552"/>
    <w:rsid w:val="008F76C6"/>
    <w:rsid w:val="00A42AA6"/>
    <w:rsid w:val="00AB064D"/>
    <w:rsid w:val="00AF0159"/>
    <w:rsid w:val="00B52EED"/>
    <w:rsid w:val="00B56428"/>
    <w:rsid w:val="00CA7AB4"/>
    <w:rsid w:val="00CB6D06"/>
    <w:rsid w:val="00CD1BDE"/>
    <w:rsid w:val="00D87462"/>
    <w:rsid w:val="00DD0532"/>
    <w:rsid w:val="00E33FB0"/>
    <w:rsid w:val="00E467B1"/>
    <w:rsid w:val="00E8078C"/>
    <w:rsid w:val="00E93867"/>
    <w:rsid w:val="00F46649"/>
    <w:rsid w:val="00F77001"/>
    <w:rsid w:val="00FE6E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39EFD5-AA06-47F7-8DEF-F0737BAA0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3" w:unhideWhenUsed="1" w:qFormat="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221487"/>
    <w:pPr>
      <w:keepNext/>
      <w:numPr>
        <w:numId w:val="5"/>
      </w:numPr>
      <w:spacing w:after="0" w:line="240" w:lineRule="auto"/>
      <w:jc w:val="both"/>
      <w:outlineLvl w:val="0"/>
    </w:pPr>
    <w:rPr>
      <w:rFonts w:ascii="Times New Roman Bold" w:eastAsia="Times" w:hAnsi="Times New Roman Bold" w:cs="Times New Roman"/>
      <w:b/>
      <w:bCs/>
      <w:noProof/>
      <w:color w:val="632423" w:themeColor="accent2" w:themeShade="80"/>
      <w:lang w:val="sq-AL"/>
    </w:rPr>
  </w:style>
  <w:style w:type="paragraph" w:styleId="Heading2">
    <w:name w:val="heading 2"/>
    <w:basedOn w:val="Normal"/>
    <w:next w:val="Normal"/>
    <w:link w:val="Heading2Char"/>
    <w:uiPriority w:val="9"/>
    <w:qFormat/>
    <w:rsid w:val="00221487"/>
    <w:pPr>
      <w:keepNext/>
      <w:numPr>
        <w:ilvl w:val="1"/>
        <w:numId w:val="4"/>
      </w:numPr>
      <w:spacing w:after="0" w:line="240" w:lineRule="auto"/>
      <w:jc w:val="both"/>
      <w:outlineLvl w:val="1"/>
    </w:pPr>
    <w:rPr>
      <w:rFonts w:ascii="Times New Roman" w:eastAsia="Times" w:hAnsi="Times New Roman" w:cs="Times New Roman"/>
      <w:b/>
      <w:bCs/>
      <w:noProof/>
      <w:lang w:val="sq-AL"/>
    </w:rPr>
  </w:style>
  <w:style w:type="paragraph" w:styleId="Heading3">
    <w:name w:val="heading 3"/>
    <w:basedOn w:val="Normal"/>
    <w:next w:val="Normal"/>
    <w:link w:val="Heading3Char"/>
    <w:qFormat/>
    <w:rsid w:val="00221487"/>
    <w:pPr>
      <w:keepNext/>
      <w:numPr>
        <w:ilvl w:val="2"/>
        <w:numId w:val="7"/>
      </w:numPr>
      <w:spacing w:after="0" w:line="240" w:lineRule="auto"/>
      <w:jc w:val="both"/>
      <w:outlineLvl w:val="2"/>
    </w:pPr>
    <w:rPr>
      <w:rFonts w:ascii="Times New Roman" w:eastAsia="Times New Roman" w:hAnsi="Times New Roman" w:cs="Times New Roman"/>
      <w:noProof/>
    </w:rPr>
  </w:style>
  <w:style w:type="paragraph" w:styleId="Heading4">
    <w:name w:val="heading 4"/>
    <w:basedOn w:val="Normal"/>
    <w:next w:val="Normal"/>
    <w:link w:val="Heading4Char"/>
    <w:qFormat/>
    <w:rsid w:val="00221487"/>
    <w:pPr>
      <w:keepNext/>
      <w:spacing w:after="0" w:line="240" w:lineRule="auto"/>
      <w:ind w:left="1080"/>
      <w:jc w:val="both"/>
      <w:outlineLvl w:val="3"/>
    </w:pPr>
    <w:rPr>
      <w:rFonts w:ascii="Times New Roman" w:eastAsia="Times New Roman" w:hAnsi="Times New Roman" w:cs="Times New Roman"/>
      <w:b/>
      <w:noProof/>
      <w:lang w:val="sq-AL"/>
    </w:rPr>
  </w:style>
  <w:style w:type="paragraph" w:styleId="Heading5">
    <w:name w:val="heading 5"/>
    <w:basedOn w:val="Normal"/>
    <w:next w:val="Normal"/>
    <w:link w:val="Heading5Char"/>
    <w:qFormat/>
    <w:rsid w:val="00221487"/>
    <w:pPr>
      <w:keepNext/>
      <w:spacing w:after="0" w:line="240" w:lineRule="auto"/>
      <w:ind w:left="720" w:firstLine="360"/>
      <w:jc w:val="right"/>
      <w:outlineLvl w:val="4"/>
    </w:pPr>
    <w:rPr>
      <w:rFonts w:ascii="Times New Roman" w:eastAsia="Times New Roman" w:hAnsi="Times New Roman" w:cs="Times New Roman"/>
      <w:bCs/>
      <w:noProof/>
      <w:u w:val="single"/>
      <w:lang w:val="sq-AL"/>
    </w:rPr>
  </w:style>
  <w:style w:type="paragraph" w:styleId="Heading6">
    <w:name w:val="heading 6"/>
    <w:basedOn w:val="Normal"/>
    <w:next w:val="Normal"/>
    <w:link w:val="Heading6Char"/>
    <w:qFormat/>
    <w:rsid w:val="00221487"/>
    <w:pPr>
      <w:keepNext/>
      <w:spacing w:after="0" w:line="240" w:lineRule="auto"/>
      <w:ind w:left="720" w:firstLine="360"/>
      <w:jc w:val="center"/>
      <w:outlineLvl w:val="5"/>
    </w:pPr>
    <w:rPr>
      <w:rFonts w:ascii="Times New Roman" w:eastAsia="Times New Roman" w:hAnsi="Times New Roman" w:cs="Times New Roman"/>
      <w:bCs/>
      <w:noProof/>
      <w:u w:val="single"/>
      <w:lang w:val="sq-AL"/>
    </w:rPr>
  </w:style>
  <w:style w:type="paragraph" w:styleId="Heading7">
    <w:name w:val="heading 7"/>
    <w:basedOn w:val="Normal"/>
    <w:next w:val="Normal"/>
    <w:link w:val="Heading7Char"/>
    <w:qFormat/>
    <w:rsid w:val="00221487"/>
    <w:pPr>
      <w:keepNext/>
      <w:spacing w:after="0" w:line="240" w:lineRule="auto"/>
      <w:jc w:val="center"/>
      <w:outlineLvl w:val="6"/>
    </w:pPr>
    <w:rPr>
      <w:rFonts w:ascii="Times New Roman" w:eastAsia="Times New Roman" w:hAnsi="Times New Roman" w:cs="Times New Roman"/>
      <w:b/>
      <w:noProof/>
      <w:sz w:val="16"/>
      <w:lang w:val="sq-AL"/>
    </w:rPr>
  </w:style>
  <w:style w:type="paragraph" w:styleId="Heading8">
    <w:name w:val="heading 8"/>
    <w:basedOn w:val="Normal"/>
    <w:next w:val="Normal"/>
    <w:link w:val="Heading8Char"/>
    <w:qFormat/>
    <w:rsid w:val="00221487"/>
    <w:pPr>
      <w:keepNext/>
      <w:spacing w:after="0" w:line="240" w:lineRule="auto"/>
      <w:jc w:val="both"/>
      <w:outlineLvl w:val="7"/>
    </w:pPr>
    <w:rPr>
      <w:rFonts w:ascii="Times New Roman" w:eastAsia="Times New Roman" w:hAnsi="Times New Roman" w:cs="Times New Roman"/>
      <w:bCs/>
      <w:noProof/>
      <w:sz w:val="18"/>
      <w:u w:val="single"/>
      <w:lang w:val="sq-AL"/>
    </w:rPr>
  </w:style>
  <w:style w:type="paragraph" w:styleId="Heading9">
    <w:name w:val="heading 9"/>
    <w:basedOn w:val="Normal"/>
    <w:next w:val="Normal"/>
    <w:link w:val="Heading9Char"/>
    <w:qFormat/>
    <w:rsid w:val="00221487"/>
    <w:pPr>
      <w:keepNext/>
      <w:spacing w:after="0" w:line="240" w:lineRule="auto"/>
      <w:jc w:val="both"/>
      <w:outlineLvl w:val="8"/>
    </w:pPr>
    <w:rPr>
      <w:rFonts w:ascii="Times New Roman" w:eastAsia="Times New Roman" w:hAnsi="Times New Roman" w:cs="Times New Roman"/>
      <w:bCs/>
      <w:noProof/>
      <w:sz w:val="16"/>
      <w:u w:val="single"/>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21487"/>
    <w:rPr>
      <w:rFonts w:ascii="Times New Roman Bold" w:eastAsia="Times" w:hAnsi="Times New Roman Bold" w:cs="Times New Roman"/>
      <w:b/>
      <w:bCs/>
      <w:noProof/>
      <w:color w:val="632423" w:themeColor="accent2" w:themeShade="80"/>
      <w:lang w:val="sq-AL"/>
    </w:rPr>
  </w:style>
  <w:style w:type="character" w:customStyle="1" w:styleId="Heading2Char">
    <w:name w:val="Heading 2 Char"/>
    <w:basedOn w:val="DefaultParagraphFont"/>
    <w:link w:val="Heading2"/>
    <w:uiPriority w:val="9"/>
    <w:rsid w:val="00221487"/>
    <w:rPr>
      <w:rFonts w:ascii="Times New Roman" w:eastAsia="Times" w:hAnsi="Times New Roman" w:cs="Times New Roman"/>
      <w:b/>
      <w:bCs/>
      <w:noProof/>
      <w:lang w:val="sq-AL"/>
    </w:rPr>
  </w:style>
  <w:style w:type="character" w:customStyle="1" w:styleId="Heading3Char">
    <w:name w:val="Heading 3 Char"/>
    <w:basedOn w:val="DefaultParagraphFont"/>
    <w:link w:val="Heading3"/>
    <w:rsid w:val="00221487"/>
    <w:rPr>
      <w:rFonts w:ascii="Times New Roman" w:eastAsia="Times New Roman" w:hAnsi="Times New Roman" w:cs="Times New Roman"/>
      <w:noProof/>
    </w:rPr>
  </w:style>
  <w:style w:type="character" w:customStyle="1" w:styleId="Heading4Char">
    <w:name w:val="Heading 4 Char"/>
    <w:basedOn w:val="DefaultParagraphFont"/>
    <w:link w:val="Heading4"/>
    <w:rsid w:val="00221487"/>
    <w:rPr>
      <w:rFonts w:ascii="Times New Roman" w:eastAsia="Times New Roman" w:hAnsi="Times New Roman" w:cs="Times New Roman"/>
      <w:b/>
      <w:noProof/>
      <w:lang w:val="sq-AL"/>
    </w:rPr>
  </w:style>
  <w:style w:type="character" w:customStyle="1" w:styleId="Heading5Char">
    <w:name w:val="Heading 5 Char"/>
    <w:basedOn w:val="DefaultParagraphFont"/>
    <w:link w:val="Heading5"/>
    <w:rsid w:val="00221487"/>
    <w:rPr>
      <w:rFonts w:ascii="Times New Roman" w:eastAsia="Times New Roman" w:hAnsi="Times New Roman" w:cs="Times New Roman"/>
      <w:bCs/>
      <w:noProof/>
      <w:u w:val="single"/>
      <w:lang w:val="sq-AL"/>
    </w:rPr>
  </w:style>
  <w:style w:type="character" w:customStyle="1" w:styleId="Heading6Char">
    <w:name w:val="Heading 6 Char"/>
    <w:basedOn w:val="DefaultParagraphFont"/>
    <w:link w:val="Heading6"/>
    <w:rsid w:val="00221487"/>
    <w:rPr>
      <w:rFonts w:ascii="Times New Roman" w:eastAsia="Times New Roman" w:hAnsi="Times New Roman" w:cs="Times New Roman"/>
      <w:bCs/>
      <w:noProof/>
      <w:u w:val="single"/>
      <w:lang w:val="sq-AL"/>
    </w:rPr>
  </w:style>
  <w:style w:type="character" w:customStyle="1" w:styleId="Heading7Char">
    <w:name w:val="Heading 7 Char"/>
    <w:basedOn w:val="DefaultParagraphFont"/>
    <w:link w:val="Heading7"/>
    <w:rsid w:val="00221487"/>
    <w:rPr>
      <w:rFonts w:ascii="Times New Roman" w:eastAsia="Times New Roman" w:hAnsi="Times New Roman" w:cs="Times New Roman"/>
      <w:b/>
      <w:noProof/>
      <w:sz w:val="16"/>
      <w:lang w:val="sq-AL"/>
    </w:rPr>
  </w:style>
  <w:style w:type="character" w:customStyle="1" w:styleId="Heading8Char">
    <w:name w:val="Heading 8 Char"/>
    <w:basedOn w:val="DefaultParagraphFont"/>
    <w:link w:val="Heading8"/>
    <w:rsid w:val="00221487"/>
    <w:rPr>
      <w:rFonts w:ascii="Times New Roman" w:eastAsia="Times New Roman" w:hAnsi="Times New Roman" w:cs="Times New Roman"/>
      <w:bCs/>
      <w:noProof/>
      <w:sz w:val="18"/>
      <w:u w:val="single"/>
      <w:lang w:val="sq-AL"/>
    </w:rPr>
  </w:style>
  <w:style w:type="character" w:customStyle="1" w:styleId="Heading9Char">
    <w:name w:val="Heading 9 Char"/>
    <w:basedOn w:val="DefaultParagraphFont"/>
    <w:link w:val="Heading9"/>
    <w:rsid w:val="00221487"/>
    <w:rPr>
      <w:rFonts w:ascii="Times New Roman" w:eastAsia="Times New Roman" w:hAnsi="Times New Roman" w:cs="Times New Roman"/>
      <w:bCs/>
      <w:noProof/>
      <w:sz w:val="16"/>
      <w:u w:val="single"/>
      <w:lang w:val="sq-AL"/>
    </w:rPr>
  </w:style>
  <w:style w:type="numbering" w:customStyle="1" w:styleId="NoList1">
    <w:name w:val="No List1"/>
    <w:next w:val="NoList"/>
    <w:uiPriority w:val="99"/>
    <w:semiHidden/>
    <w:unhideWhenUsed/>
    <w:rsid w:val="00221487"/>
  </w:style>
  <w:style w:type="paragraph" w:styleId="FootnoteText">
    <w:name w:val="footnote text"/>
    <w:aliases w:val="Footnote Text Char Char Char,Footnote Text Char Char,Fußnote,single space,footnote text,Footnote,Footnote Text Char1 Char,Footnote Text Char1 Char Char Char,Footnote Text Char Char Char Char Char,Footnote Text Char1 Char1 Char,f,fn,AD,ADB"/>
    <w:basedOn w:val="Normal"/>
    <w:link w:val="FootnoteTextChar"/>
    <w:uiPriority w:val="99"/>
    <w:qFormat/>
    <w:rsid w:val="00221487"/>
    <w:pPr>
      <w:spacing w:after="0" w:line="240" w:lineRule="auto"/>
      <w:jc w:val="both"/>
    </w:pPr>
    <w:rPr>
      <w:rFonts w:ascii="Times New Roman" w:eastAsia="Times New Roman" w:hAnsi="Times New Roman" w:cs="Times New Roman"/>
      <w:noProof/>
      <w:sz w:val="20"/>
      <w:szCs w:val="20"/>
      <w:lang w:val="sq-AL"/>
    </w:rPr>
  </w:style>
  <w:style w:type="character" w:customStyle="1" w:styleId="FootnoteTextChar">
    <w:name w:val="Footnote Text Char"/>
    <w:aliases w:val="Footnote Text Char Char Char Char2,Footnote Text Char Char Char3,Fußnote Char2,single space Char1,footnote text Char,Footnote Char1,Footnote Text Char1 Char Char1,Footnote Text Char1 Char Char Char Char1,f Char,fn Char,AD Char"/>
    <w:basedOn w:val="DefaultParagraphFont"/>
    <w:link w:val="FootnoteText"/>
    <w:uiPriority w:val="99"/>
    <w:rsid w:val="00221487"/>
    <w:rPr>
      <w:rFonts w:ascii="Times New Roman" w:eastAsia="Times New Roman" w:hAnsi="Times New Roman" w:cs="Times New Roman"/>
      <w:noProof/>
      <w:sz w:val="20"/>
      <w:szCs w:val="20"/>
      <w:lang w:val="sq-AL"/>
    </w:rPr>
  </w:style>
  <w:style w:type="character" w:styleId="FootnoteReference">
    <w:name w:val="footnote reference"/>
    <w:aliases w:val="BVI fnr,ftref, Char Char,Char Char,ftref Char,BVI fnr Char,BVI fnr Car Char,Char Char Car Char,Char Char Char Char Char Char Char Char Char Char Char Char Char Char Char Char Char Char Char Char Car Char,16 Point Char,fr,R,16 Point"/>
    <w:link w:val="BVIfnrCarCarCarCarChar"/>
    <w:uiPriority w:val="99"/>
    <w:qFormat/>
    <w:rsid w:val="00221487"/>
    <w:rPr>
      <w:vertAlign w:val="superscript"/>
    </w:rPr>
  </w:style>
  <w:style w:type="paragraph" w:customStyle="1" w:styleId="BVIfnrCarCarCarCarChar">
    <w:name w:val="BVI fnr Car Car Car Car Char"/>
    <w:basedOn w:val="Normal"/>
    <w:link w:val="FootnoteReference"/>
    <w:uiPriority w:val="99"/>
    <w:rsid w:val="00221487"/>
    <w:pPr>
      <w:spacing w:after="160" w:line="240" w:lineRule="exact"/>
      <w:jc w:val="both"/>
    </w:pPr>
    <w:rPr>
      <w:vertAlign w:val="superscript"/>
    </w:rPr>
  </w:style>
  <w:style w:type="paragraph" w:customStyle="1" w:styleId="ChapterNumber">
    <w:name w:val="ChapterNumber"/>
    <w:basedOn w:val="Normal"/>
    <w:next w:val="Normal"/>
    <w:rsid w:val="00221487"/>
    <w:pPr>
      <w:spacing w:after="360" w:line="240" w:lineRule="auto"/>
      <w:jc w:val="both"/>
    </w:pPr>
    <w:rPr>
      <w:rFonts w:ascii="Times New Roman" w:eastAsia="Times New Roman" w:hAnsi="Times New Roman" w:cs="Times New Roman"/>
      <w:noProof/>
      <w:lang w:val="sq-AL"/>
    </w:rPr>
  </w:style>
  <w:style w:type="paragraph" w:customStyle="1" w:styleId="Outline1">
    <w:name w:val="Outline1"/>
    <w:basedOn w:val="Outline"/>
    <w:next w:val="Outline2"/>
    <w:rsid w:val="00221487"/>
    <w:pPr>
      <w:keepNext/>
      <w:tabs>
        <w:tab w:val="num" w:pos="360"/>
      </w:tabs>
      <w:ind w:left="360" w:hanging="360"/>
    </w:pPr>
  </w:style>
  <w:style w:type="paragraph" w:customStyle="1" w:styleId="Outline">
    <w:name w:val="Outline"/>
    <w:basedOn w:val="Normal"/>
    <w:rsid w:val="00221487"/>
    <w:pPr>
      <w:spacing w:before="240" w:after="0" w:line="240" w:lineRule="auto"/>
      <w:jc w:val="both"/>
    </w:pPr>
    <w:rPr>
      <w:rFonts w:ascii="Times New Roman" w:eastAsia="Times New Roman" w:hAnsi="Times New Roman" w:cs="Times New Roman"/>
      <w:noProof/>
      <w:kern w:val="28"/>
      <w:lang w:val="sq-AL"/>
    </w:rPr>
  </w:style>
  <w:style w:type="paragraph" w:customStyle="1" w:styleId="Outline2">
    <w:name w:val="Outline2"/>
    <w:basedOn w:val="Normal"/>
    <w:rsid w:val="00221487"/>
    <w:pPr>
      <w:tabs>
        <w:tab w:val="num" w:pos="864"/>
      </w:tabs>
      <w:spacing w:before="240" w:after="0" w:line="240" w:lineRule="auto"/>
      <w:ind w:left="864" w:hanging="504"/>
      <w:jc w:val="both"/>
    </w:pPr>
    <w:rPr>
      <w:rFonts w:ascii="Times New Roman" w:eastAsia="Times New Roman" w:hAnsi="Times New Roman" w:cs="Times New Roman"/>
      <w:noProof/>
      <w:kern w:val="28"/>
      <w:lang w:val="sq-AL"/>
    </w:rPr>
  </w:style>
  <w:style w:type="paragraph" w:customStyle="1" w:styleId="Outline3">
    <w:name w:val="Outline3"/>
    <w:basedOn w:val="Normal"/>
    <w:rsid w:val="00221487"/>
    <w:pPr>
      <w:tabs>
        <w:tab w:val="num" w:pos="1368"/>
        <w:tab w:val="num" w:pos="3492"/>
      </w:tabs>
      <w:spacing w:before="240" w:after="0" w:line="240" w:lineRule="auto"/>
      <w:ind w:left="1368" w:hanging="504"/>
      <w:jc w:val="both"/>
    </w:pPr>
    <w:rPr>
      <w:rFonts w:ascii="Times New Roman" w:eastAsia="Times New Roman" w:hAnsi="Times New Roman" w:cs="Times New Roman"/>
      <w:noProof/>
      <w:kern w:val="28"/>
      <w:lang w:val="sq-AL"/>
    </w:rPr>
  </w:style>
  <w:style w:type="paragraph" w:customStyle="1" w:styleId="Outline4">
    <w:name w:val="Outline4"/>
    <w:basedOn w:val="Normal"/>
    <w:rsid w:val="00221487"/>
    <w:pPr>
      <w:tabs>
        <w:tab w:val="num" w:pos="1872"/>
      </w:tabs>
      <w:spacing w:before="240" w:after="0" w:line="240" w:lineRule="auto"/>
      <w:ind w:left="1872" w:hanging="504"/>
      <w:jc w:val="both"/>
    </w:pPr>
    <w:rPr>
      <w:rFonts w:ascii="Times New Roman" w:eastAsia="Times New Roman" w:hAnsi="Times New Roman" w:cs="Times New Roman"/>
      <w:noProof/>
      <w:kern w:val="28"/>
      <w:lang w:val="sq-AL"/>
    </w:rPr>
  </w:style>
  <w:style w:type="paragraph" w:customStyle="1" w:styleId="outlinebullet">
    <w:name w:val="outlinebullet"/>
    <w:basedOn w:val="Normal"/>
    <w:rsid w:val="00221487"/>
    <w:pPr>
      <w:tabs>
        <w:tab w:val="left" w:pos="1440"/>
      </w:tabs>
      <w:spacing w:before="120" w:after="0" w:line="240" w:lineRule="auto"/>
      <w:ind w:left="1440" w:hanging="450"/>
      <w:jc w:val="both"/>
    </w:pPr>
    <w:rPr>
      <w:rFonts w:ascii="Times New Roman" w:eastAsia="Times New Roman" w:hAnsi="Times New Roman" w:cs="Times New Roman"/>
      <w:noProof/>
      <w:lang w:val="sq-AL"/>
    </w:rPr>
  </w:style>
  <w:style w:type="paragraph" w:styleId="BodyText">
    <w:name w:val="Body Text"/>
    <w:basedOn w:val="Normal"/>
    <w:link w:val="BodyTextChar"/>
    <w:rsid w:val="00221487"/>
    <w:pPr>
      <w:tabs>
        <w:tab w:val="center" w:pos="4680"/>
      </w:tabs>
      <w:spacing w:after="0" w:line="275" w:lineRule="atLeast"/>
      <w:jc w:val="center"/>
    </w:pPr>
    <w:rPr>
      <w:rFonts w:ascii="Times New Roman" w:eastAsia="Times New Roman" w:hAnsi="Times New Roman" w:cs="Times New Roman"/>
      <w:b/>
      <w:noProof/>
      <w:lang w:val="sq-AL"/>
    </w:rPr>
  </w:style>
  <w:style w:type="character" w:customStyle="1" w:styleId="BodyTextChar">
    <w:name w:val="Body Text Char"/>
    <w:basedOn w:val="DefaultParagraphFont"/>
    <w:link w:val="BodyText"/>
    <w:rsid w:val="00221487"/>
    <w:rPr>
      <w:rFonts w:ascii="Times New Roman" w:eastAsia="Times New Roman" w:hAnsi="Times New Roman" w:cs="Times New Roman"/>
      <w:b/>
      <w:noProof/>
      <w:lang w:val="sq-AL"/>
    </w:rPr>
  </w:style>
  <w:style w:type="paragraph" w:styleId="BodyTextIndent">
    <w:name w:val="Body Text Indent"/>
    <w:basedOn w:val="Normal"/>
    <w:link w:val="BodyTextIndentChar"/>
    <w:rsid w:val="00221487"/>
    <w:pPr>
      <w:tabs>
        <w:tab w:val="left" w:pos="0"/>
        <w:tab w:val="right" w:leader="dot" w:pos="8640"/>
      </w:tabs>
      <w:spacing w:after="0" w:line="240" w:lineRule="auto"/>
      <w:ind w:hanging="720"/>
      <w:jc w:val="both"/>
    </w:pPr>
    <w:rPr>
      <w:rFonts w:ascii="Times New Roman" w:eastAsia="Times New Roman" w:hAnsi="Times New Roman" w:cs="Times New Roman"/>
      <w:noProof/>
      <w:lang w:val="sq-AL"/>
    </w:rPr>
  </w:style>
  <w:style w:type="character" w:customStyle="1" w:styleId="BodyTextIndentChar">
    <w:name w:val="Body Text Indent Char"/>
    <w:basedOn w:val="DefaultParagraphFont"/>
    <w:link w:val="BodyTextIndent"/>
    <w:rsid w:val="00221487"/>
    <w:rPr>
      <w:rFonts w:ascii="Times New Roman" w:eastAsia="Times New Roman" w:hAnsi="Times New Roman" w:cs="Times New Roman"/>
      <w:noProof/>
      <w:lang w:val="sq-AL"/>
    </w:rPr>
  </w:style>
  <w:style w:type="paragraph" w:styleId="List">
    <w:name w:val="List"/>
    <w:basedOn w:val="Normal"/>
    <w:rsid w:val="00221487"/>
    <w:pPr>
      <w:spacing w:after="0" w:line="240" w:lineRule="auto"/>
      <w:ind w:left="360" w:hanging="360"/>
      <w:jc w:val="both"/>
    </w:pPr>
    <w:rPr>
      <w:rFonts w:ascii="Times New Roman" w:eastAsia="Times New Roman" w:hAnsi="Times New Roman" w:cs="Times New Roman"/>
      <w:noProof/>
      <w:lang w:val="sq-AL"/>
    </w:rPr>
  </w:style>
  <w:style w:type="paragraph" w:styleId="List2">
    <w:name w:val="List 2"/>
    <w:basedOn w:val="Normal"/>
    <w:rsid w:val="00221487"/>
    <w:pPr>
      <w:spacing w:after="0" w:line="240" w:lineRule="auto"/>
      <w:ind w:left="720" w:hanging="360"/>
      <w:jc w:val="both"/>
    </w:pPr>
    <w:rPr>
      <w:rFonts w:ascii="Times New Roman" w:eastAsia="Times New Roman" w:hAnsi="Times New Roman" w:cs="Times New Roman"/>
      <w:noProof/>
      <w:lang w:val="sq-AL"/>
    </w:rPr>
  </w:style>
  <w:style w:type="paragraph" w:styleId="List3">
    <w:name w:val="List 3"/>
    <w:basedOn w:val="Normal"/>
    <w:rsid w:val="00221487"/>
    <w:pPr>
      <w:spacing w:after="0" w:line="240" w:lineRule="auto"/>
      <w:ind w:left="1080" w:hanging="360"/>
      <w:jc w:val="both"/>
    </w:pPr>
    <w:rPr>
      <w:rFonts w:ascii="Times New Roman" w:eastAsia="Times New Roman" w:hAnsi="Times New Roman" w:cs="Times New Roman"/>
      <w:noProof/>
      <w:lang w:val="sq-AL"/>
    </w:rPr>
  </w:style>
  <w:style w:type="paragraph" w:styleId="MessageHeader">
    <w:name w:val="Message Header"/>
    <w:basedOn w:val="Normal"/>
    <w:link w:val="MessageHeaderChar"/>
    <w:rsid w:val="00221487"/>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jc w:val="both"/>
    </w:pPr>
    <w:rPr>
      <w:rFonts w:ascii="Arial" w:eastAsia="Times New Roman" w:hAnsi="Arial" w:cs="Times New Roman"/>
      <w:noProof/>
      <w:lang w:val="sq-AL"/>
    </w:rPr>
  </w:style>
  <w:style w:type="character" w:customStyle="1" w:styleId="MessageHeaderChar">
    <w:name w:val="Message Header Char"/>
    <w:basedOn w:val="DefaultParagraphFont"/>
    <w:link w:val="MessageHeader"/>
    <w:rsid w:val="00221487"/>
    <w:rPr>
      <w:rFonts w:ascii="Arial" w:eastAsia="Times New Roman" w:hAnsi="Arial" w:cs="Times New Roman"/>
      <w:noProof/>
      <w:shd w:val="pct20" w:color="auto" w:fill="auto"/>
      <w:lang w:val="sq-AL"/>
    </w:rPr>
  </w:style>
  <w:style w:type="paragraph" w:styleId="Salutation">
    <w:name w:val="Salutation"/>
    <w:basedOn w:val="Normal"/>
    <w:next w:val="Normal"/>
    <w:link w:val="SalutationChar"/>
    <w:rsid w:val="00221487"/>
    <w:pPr>
      <w:spacing w:after="0" w:line="240" w:lineRule="auto"/>
      <w:jc w:val="both"/>
    </w:pPr>
    <w:rPr>
      <w:rFonts w:ascii="Times New Roman" w:eastAsia="Times New Roman" w:hAnsi="Times New Roman" w:cs="Times New Roman"/>
      <w:noProof/>
      <w:lang w:val="sq-AL"/>
    </w:rPr>
  </w:style>
  <w:style w:type="character" w:customStyle="1" w:styleId="SalutationChar">
    <w:name w:val="Salutation Char"/>
    <w:basedOn w:val="DefaultParagraphFont"/>
    <w:link w:val="Salutation"/>
    <w:rsid w:val="00221487"/>
    <w:rPr>
      <w:rFonts w:ascii="Times New Roman" w:eastAsia="Times New Roman" w:hAnsi="Times New Roman" w:cs="Times New Roman"/>
      <w:noProof/>
      <w:lang w:val="sq-AL"/>
    </w:rPr>
  </w:style>
  <w:style w:type="paragraph" w:styleId="Closing">
    <w:name w:val="Closing"/>
    <w:basedOn w:val="Normal"/>
    <w:link w:val="ClosingChar"/>
    <w:rsid w:val="00221487"/>
    <w:pPr>
      <w:spacing w:after="0" w:line="240" w:lineRule="auto"/>
      <w:ind w:left="4320"/>
      <w:jc w:val="both"/>
    </w:pPr>
    <w:rPr>
      <w:rFonts w:ascii="Times New Roman" w:eastAsia="Times New Roman" w:hAnsi="Times New Roman" w:cs="Times New Roman"/>
      <w:noProof/>
      <w:lang w:val="sq-AL"/>
    </w:rPr>
  </w:style>
  <w:style w:type="character" w:customStyle="1" w:styleId="ClosingChar">
    <w:name w:val="Closing Char"/>
    <w:basedOn w:val="DefaultParagraphFont"/>
    <w:link w:val="Closing"/>
    <w:rsid w:val="00221487"/>
    <w:rPr>
      <w:rFonts w:ascii="Times New Roman" w:eastAsia="Times New Roman" w:hAnsi="Times New Roman" w:cs="Times New Roman"/>
      <w:noProof/>
      <w:lang w:val="sq-AL"/>
    </w:rPr>
  </w:style>
  <w:style w:type="paragraph" w:styleId="Date">
    <w:name w:val="Date"/>
    <w:basedOn w:val="Normal"/>
    <w:next w:val="Normal"/>
    <w:link w:val="DateChar"/>
    <w:rsid w:val="00221487"/>
    <w:pPr>
      <w:spacing w:after="0" w:line="240" w:lineRule="auto"/>
      <w:jc w:val="both"/>
    </w:pPr>
    <w:rPr>
      <w:rFonts w:ascii="Times New Roman" w:eastAsia="Times New Roman" w:hAnsi="Times New Roman" w:cs="Times New Roman"/>
      <w:noProof/>
      <w:lang w:val="sq-AL"/>
    </w:rPr>
  </w:style>
  <w:style w:type="character" w:customStyle="1" w:styleId="DateChar">
    <w:name w:val="Date Char"/>
    <w:basedOn w:val="DefaultParagraphFont"/>
    <w:link w:val="Date"/>
    <w:rsid w:val="00221487"/>
    <w:rPr>
      <w:rFonts w:ascii="Times New Roman" w:eastAsia="Times New Roman" w:hAnsi="Times New Roman" w:cs="Times New Roman"/>
      <w:noProof/>
      <w:lang w:val="sq-AL"/>
    </w:rPr>
  </w:style>
  <w:style w:type="paragraph" w:styleId="ListContinue">
    <w:name w:val="List Continue"/>
    <w:basedOn w:val="Normal"/>
    <w:rsid w:val="00221487"/>
    <w:pPr>
      <w:spacing w:after="120" w:line="240" w:lineRule="auto"/>
      <w:ind w:left="360"/>
      <w:jc w:val="both"/>
    </w:pPr>
    <w:rPr>
      <w:rFonts w:ascii="Times New Roman" w:eastAsia="Times New Roman" w:hAnsi="Times New Roman" w:cs="Times New Roman"/>
      <w:noProof/>
      <w:lang w:val="sq-AL"/>
    </w:rPr>
  </w:style>
  <w:style w:type="paragraph" w:styleId="ListContinue2">
    <w:name w:val="List Continue 2"/>
    <w:basedOn w:val="Normal"/>
    <w:rsid w:val="00221487"/>
    <w:pPr>
      <w:spacing w:after="120" w:line="240" w:lineRule="auto"/>
      <w:ind w:left="720"/>
      <w:jc w:val="both"/>
    </w:pPr>
    <w:rPr>
      <w:rFonts w:ascii="Times New Roman" w:eastAsia="Times New Roman" w:hAnsi="Times New Roman" w:cs="Times New Roman"/>
      <w:noProof/>
      <w:lang w:val="sq-AL"/>
    </w:rPr>
  </w:style>
  <w:style w:type="paragraph" w:styleId="ListContinue3">
    <w:name w:val="List Continue 3"/>
    <w:basedOn w:val="Normal"/>
    <w:rsid w:val="00221487"/>
    <w:pPr>
      <w:spacing w:after="120" w:line="240" w:lineRule="auto"/>
      <w:ind w:left="1080"/>
      <w:jc w:val="both"/>
    </w:pPr>
    <w:rPr>
      <w:rFonts w:ascii="Times New Roman" w:eastAsia="Times New Roman" w:hAnsi="Times New Roman" w:cs="Times New Roman"/>
      <w:noProof/>
      <w:lang w:val="sq-AL"/>
    </w:rPr>
  </w:style>
  <w:style w:type="paragraph" w:styleId="Signature">
    <w:name w:val="Signature"/>
    <w:basedOn w:val="Normal"/>
    <w:link w:val="SignatureChar"/>
    <w:rsid w:val="00221487"/>
    <w:pPr>
      <w:spacing w:after="0" w:line="240" w:lineRule="auto"/>
      <w:ind w:left="4320"/>
      <w:jc w:val="both"/>
    </w:pPr>
    <w:rPr>
      <w:rFonts w:ascii="Times New Roman" w:eastAsia="Times New Roman" w:hAnsi="Times New Roman" w:cs="Times New Roman"/>
      <w:noProof/>
      <w:lang w:val="sq-AL"/>
    </w:rPr>
  </w:style>
  <w:style w:type="character" w:customStyle="1" w:styleId="SignatureChar">
    <w:name w:val="Signature Char"/>
    <w:basedOn w:val="DefaultParagraphFont"/>
    <w:link w:val="Signature"/>
    <w:rsid w:val="00221487"/>
    <w:rPr>
      <w:rFonts w:ascii="Times New Roman" w:eastAsia="Times New Roman" w:hAnsi="Times New Roman" w:cs="Times New Roman"/>
      <w:noProof/>
      <w:lang w:val="sq-AL"/>
    </w:rPr>
  </w:style>
  <w:style w:type="paragraph" w:customStyle="1" w:styleId="ReferenceLine">
    <w:name w:val="Reference Line"/>
    <w:basedOn w:val="BodyText"/>
    <w:rsid w:val="00221487"/>
  </w:style>
  <w:style w:type="paragraph" w:styleId="NormalIndent">
    <w:name w:val="Normal Indent"/>
    <w:basedOn w:val="Normal"/>
    <w:rsid w:val="00221487"/>
    <w:pPr>
      <w:spacing w:after="0" w:line="240" w:lineRule="auto"/>
      <w:ind w:left="720"/>
      <w:jc w:val="both"/>
    </w:pPr>
    <w:rPr>
      <w:rFonts w:ascii="Times New Roman" w:eastAsia="Times New Roman" w:hAnsi="Times New Roman" w:cs="Times New Roman"/>
      <w:noProof/>
      <w:lang w:val="sq-AL"/>
    </w:rPr>
  </w:style>
  <w:style w:type="paragraph" w:styleId="BodyTextIndent2">
    <w:name w:val="Body Text Indent 2"/>
    <w:basedOn w:val="Normal"/>
    <w:link w:val="BodyTextIndent2Char"/>
    <w:rsid w:val="00221487"/>
    <w:pPr>
      <w:spacing w:after="0" w:line="240" w:lineRule="auto"/>
      <w:ind w:left="1440" w:hanging="720"/>
      <w:jc w:val="both"/>
    </w:pPr>
    <w:rPr>
      <w:rFonts w:ascii="Times New Roman" w:eastAsia="Times New Roman" w:hAnsi="Times New Roman" w:cs="Times New Roman"/>
      <w:noProof/>
      <w:lang w:val="sq-AL"/>
    </w:rPr>
  </w:style>
  <w:style w:type="character" w:customStyle="1" w:styleId="BodyTextIndent2Char">
    <w:name w:val="Body Text Indent 2 Char"/>
    <w:basedOn w:val="DefaultParagraphFont"/>
    <w:link w:val="BodyTextIndent2"/>
    <w:rsid w:val="00221487"/>
    <w:rPr>
      <w:rFonts w:ascii="Times New Roman" w:eastAsia="Times New Roman" w:hAnsi="Times New Roman" w:cs="Times New Roman"/>
      <w:noProof/>
      <w:lang w:val="sq-AL"/>
    </w:rPr>
  </w:style>
  <w:style w:type="paragraph" w:styleId="BodyText2">
    <w:name w:val="Body Text 2"/>
    <w:basedOn w:val="Normal"/>
    <w:link w:val="BodyText2Char"/>
    <w:rsid w:val="00221487"/>
    <w:pPr>
      <w:spacing w:after="0" w:line="240" w:lineRule="auto"/>
      <w:jc w:val="both"/>
    </w:pPr>
    <w:rPr>
      <w:rFonts w:ascii="Times New Roman" w:eastAsia="Times New Roman" w:hAnsi="Times New Roman" w:cs="Times New Roman"/>
      <w:noProof/>
      <w:lang w:val="sq-AL"/>
    </w:rPr>
  </w:style>
  <w:style w:type="character" w:customStyle="1" w:styleId="BodyText2Char">
    <w:name w:val="Body Text 2 Char"/>
    <w:basedOn w:val="DefaultParagraphFont"/>
    <w:link w:val="BodyText2"/>
    <w:rsid w:val="00221487"/>
    <w:rPr>
      <w:rFonts w:ascii="Times New Roman" w:eastAsia="Times New Roman" w:hAnsi="Times New Roman" w:cs="Times New Roman"/>
      <w:noProof/>
      <w:lang w:val="sq-AL"/>
    </w:rPr>
  </w:style>
  <w:style w:type="paragraph" w:styleId="Header">
    <w:name w:val="header"/>
    <w:basedOn w:val="Normal"/>
    <w:link w:val="HeaderChar"/>
    <w:uiPriority w:val="99"/>
    <w:rsid w:val="00221487"/>
    <w:pPr>
      <w:tabs>
        <w:tab w:val="center" w:pos="4320"/>
        <w:tab w:val="right" w:pos="8640"/>
      </w:tabs>
      <w:spacing w:after="0" w:line="240" w:lineRule="auto"/>
      <w:jc w:val="both"/>
    </w:pPr>
    <w:rPr>
      <w:rFonts w:ascii="Times New Roman" w:eastAsia="Times New Roman" w:hAnsi="Times New Roman" w:cs="Times New Roman"/>
      <w:noProof/>
      <w:lang w:val="sq-AL"/>
    </w:rPr>
  </w:style>
  <w:style w:type="character" w:customStyle="1" w:styleId="HeaderChar">
    <w:name w:val="Header Char"/>
    <w:basedOn w:val="DefaultParagraphFont"/>
    <w:link w:val="Header"/>
    <w:uiPriority w:val="99"/>
    <w:rsid w:val="00221487"/>
    <w:rPr>
      <w:rFonts w:ascii="Times New Roman" w:eastAsia="Times New Roman" w:hAnsi="Times New Roman" w:cs="Times New Roman"/>
      <w:noProof/>
      <w:lang w:val="sq-AL"/>
    </w:rPr>
  </w:style>
  <w:style w:type="paragraph" w:customStyle="1" w:styleId="0Normal">
    <w:name w:val="!0 Normal"/>
    <w:rsid w:val="00221487"/>
    <w:pPr>
      <w:spacing w:after="0" w:line="240" w:lineRule="auto"/>
    </w:pPr>
    <w:rPr>
      <w:rFonts w:ascii="Times New Roman" w:eastAsia="Times New Roman" w:hAnsi="Times New Roman" w:cs="Times New Roman"/>
      <w:sz w:val="20"/>
      <w:szCs w:val="20"/>
      <w:lang w:val="en-GB"/>
    </w:rPr>
  </w:style>
  <w:style w:type="paragraph" w:customStyle="1" w:styleId="BankNormal">
    <w:name w:val="BankNormal"/>
    <w:basedOn w:val="Normal"/>
    <w:rsid w:val="00221487"/>
    <w:pPr>
      <w:spacing w:after="240" w:line="240" w:lineRule="auto"/>
      <w:jc w:val="both"/>
    </w:pPr>
    <w:rPr>
      <w:rFonts w:ascii="Times New Roman" w:eastAsia="Times New Roman" w:hAnsi="Times New Roman" w:cs="Times New Roman"/>
      <w:noProof/>
      <w:lang w:val="sq-AL"/>
    </w:rPr>
  </w:style>
  <w:style w:type="character" w:styleId="PageNumber">
    <w:name w:val="page number"/>
    <w:basedOn w:val="DefaultParagraphFont"/>
    <w:rsid w:val="00221487"/>
  </w:style>
  <w:style w:type="paragraph" w:styleId="ListBullet2">
    <w:name w:val="List Bullet 2"/>
    <w:basedOn w:val="Normal"/>
    <w:autoRedefine/>
    <w:rsid w:val="00221487"/>
    <w:pPr>
      <w:tabs>
        <w:tab w:val="num" w:pos="720"/>
      </w:tabs>
      <w:spacing w:after="0" w:line="240" w:lineRule="auto"/>
      <w:ind w:left="720" w:hanging="360"/>
      <w:jc w:val="both"/>
    </w:pPr>
    <w:rPr>
      <w:rFonts w:ascii="Times New Roman" w:eastAsia="Times New Roman" w:hAnsi="Times New Roman" w:cs="Times New Roman"/>
      <w:noProof/>
      <w:lang w:val="sq-AL"/>
    </w:rPr>
  </w:style>
  <w:style w:type="paragraph" w:styleId="BodyTextIndent3">
    <w:name w:val="Body Text Indent 3"/>
    <w:basedOn w:val="Normal"/>
    <w:link w:val="BodyTextIndent3Char"/>
    <w:rsid w:val="00221487"/>
    <w:pPr>
      <w:spacing w:after="0" w:line="240" w:lineRule="auto"/>
      <w:ind w:left="2160" w:hanging="720"/>
      <w:jc w:val="both"/>
    </w:pPr>
    <w:rPr>
      <w:rFonts w:ascii="Times New Roman" w:eastAsia="Times New Roman" w:hAnsi="Times New Roman" w:cs="Times New Roman"/>
      <w:noProof/>
      <w:lang w:val="sq-AL"/>
    </w:rPr>
  </w:style>
  <w:style w:type="character" w:customStyle="1" w:styleId="BodyTextIndent3Char">
    <w:name w:val="Body Text Indent 3 Char"/>
    <w:basedOn w:val="DefaultParagraphFont"/>
    <w:link w:val="BodyTextIndent3"/>
    <w:rsid w:val="00221487"/>
    <w:rPr>
      <w:rFonts w:ascii="Times New Roman" w:eastAsia="Times New Roman" w:hAnsi="Times New Roman" w:cs="Times New Roman"/>
      <w:noProof/>
      <w:lang w:val="sq-AL"/>
    </w:rPr>
  </w:style>
  <w:style w:type="paragraph" w:styleId="Caption">
    <w:name w:val="caption"/>
    <w:basedOn w:val="Normal"/>
    <w:next w:val="Normal"/>
    <w:link w:val="CaptionChar"/>
    <w:qFormat/>
    <w:rsid w:val="00221487"/>
    <w:pPr>
      <w:spacing w:before="120" w:after="120" w:line="240" w:lineRule="auto"/>
      <w:jc w:val="both"/>
    </w:pPr>
    <w:rPr>
      <w:rFonts w:ascii="Times New Roman" w:eastAsia="Times New Roman" w:hAnsi="Times New Roman" w:cs="Times New Roman"/>
      <w:b/>
      <w:noProof/>
      <w:lang w:val="sq-AL"/>
    </w:rPr>
  </w:style>
  <w:style w:type="paragraph" w:styleId="BodyText3">
    <w:name w:val="Body Text 3"/>
    <w:basedOn w:val="Normal"/>
    <w:link w:val="BodyText3Char"/>
    <w:rsid w:val="00221487"/>
    <w:pPr>
      <w:spacing w:after="0" w:line="240" w:lineRule="atLeast"/>
      <w:jc w:val="both"/>
    </w:pPr>
    <w:rPr>
      <w:rFonts w:ascii="Times New Roman" w:eastAsia="Times New Roman" w:hAnsi="Times New Roman" w:cs="Times New Roman"/>
      <w:noProof/>
      <w:snapToGrid w:val="0"/>
      <w:color w:val="000000"/>
      <w:lang w:val="sq-AL"/>
    </w:rPr>
  </w:style>
  <w:style w:type="character" w:customStyle="1" w:styleId="BodyText3Char">
    <w:name w:val="Body Text 3 Char"/>
    <w:basedOn w:val="DefaultParagraphFont"/>
    <w:link w:val="BodyText3"/>
    <w:rsid w:val="00221487"/>
    <w:rPr>
      <w:rFonts w:ascii="Times New Roman" w:eastAsia="Times New Roman" w:hAnsi="Times New Roman" w:cs="Times New Roman"/>
      <w:noProof/>
      <w:snapToGrid w:val="0"/>
      <w:color w:val="000000"/>
      <w:lang w:val="sq-AL"/>
    </w:rPr>
  </w:style>
  <w:style w:type="paragraph" w:styleId="Footer">
    <w:name w:val="footer"/>
    <w:basedOn w:val="Normal"/>
    <w:link w:val="FooterChar"/>
    <w:uiPriority w:val="99"/>
    <w:rsid w:val="00221487"/>
    <w:pPr>
      <w:tabs>
        <w:tab w:val="center" w:pos="4320"/>
        <w:tab w:val="right" w:pos="8640"/>
      </w:tabs>
      <w:spacing w:after="0" w:line="240" w:lineRule="auto"/>
      <w:jc w:val="both"/>
    </w:pPr>
    <w:rPr>
      <w:rFonts w:ascii="Times New Roman" w:eastAsia="Times New Roman" w:hAnsi="Times New Roman" w:cs="Times New Roman"/>
      <w:noProof/>
      <w:lang w:val="sq-AL"/>
    </w:rPr>
  </w:style>
  <w:style w:type="character" w:customStyle="1" w:styleId="FooterChar">
    <w:name w:val="Footer Char"/>
    <w:basedOn w:val="DefaultParagraphFont"/>
    <w:link w:val="Footer"/>
    <w:uiPriority w:val="99"/>
    <w:rsid w:val="00221487"/>
    <w:rPr>
      <w:rFonts w:ascii="Times New Roman" w:eastAsia="Times New Roman" w:hAnsi="Times New Roman" w:cs="Times New Roman"/>
      <w:noProof/>
      <w:lang w:val="sq-AL"/>
    </w:rPr>
  </w:style>
  <w:style w:type="paragraph" w:styleId="NormalWeb">
    <w:name w:val="Normal (Web)"/>
    <w:basedOn w:val="Normal"/>
    <w:uiPriority w:val="99"/>
    <w:rsid w:val="00221487"/>
    <w:pPr>
      <w:spacing w:before="100" w:beforeAutospacing="1" w:after="100" w:afterAutospacing="1" w:line="240" w:lineRule="auto"/>
      <w:jc w:val="both"/>
    </w:pPr>
    <w:rPr>
      <w:rFonts w:ascii="Arial Unicode MS" w:eastAsia="Arial Unicode MS" w:hAnsi="Arial Unicode MS" w:cs="Arial Unicode MS"/>
      <w:noProof/>
      <w:color w:val="000000"/>
      <w:lang w:val="sq-AL"/>
    </w:rPr>
  </w:style>
  <w:style w:type="paragraph" w:styleId="TOC1">
    <w:name w:val="toc 1"/>
    <w:basedOn w:val="Normal"/>
    <w:next w:val="Normal"/>
    <w:autoRedefine/>
    <w:uiPriority w:val="39"/>
    <w:qFormat/>
    <w:rsid w:val="00221487"/>
    <w:pPr>
      <w:tabs>
        <w:tab w:val="left" w:pos="440"/>
        <w:tab w:val="right" w:pos="9620"/>
      </w:tabs>
      <w:spacing w:before="360" w:after="0" w:line="240" w:lineRule="auto"/>
    </w:pPr>
    <w:rPr>
      <w:rFonts w:asciiTheme="majorHAnsi" w:eastAsia="Times New Roman" w:hAnsiTheme="majorHAnsi" w:cs="Times New Roman"/>
      <w:b/>
      <w:bCs/>
      <w:caps/>
      <w:noProof/>
      <w:sz w:val="24"/>
      <w:szCs w:val="24"/>
      <w:lang w:val="sq-AL"/>
    </w:rPr>
  </w:style>
  <w:style w:type="paragraph" w:styleId="TOC2">
    <w:name w:val="toc 2"/>
    <w:basedOn w:val="Normal"/>
    <w:next w:val="Normal"/>
    <w:autoRedefine/>
    <w:uiPriority w:val="39"/>
    <w:qFormat/>
    <w:rsid w:val="00221487"/>
    <w:pPr>
      <w:spacing w:before="240" w:after="0" w:line="240" w:lineRule="auto"/>
    </w:pPr>
    <w:rPr>
      <w:rFonts w:eastAsia="Times New Roman" w:cstheme="minorHAnsi"/>
      <w:b/>
      <w:bCs/>
      <w:noProof/>
      <w:sz w:val="20"/>
      <w:szCs w:val="20"/>
      <w:lang w:val="sq-AL"/>
    </w:rPr>
  </w:style>
  <w:style w:type="paragraph" w:styleId="TOC3">
    <w:name w:val="toc 3"/>
    <w:basedOn w:val="Normal"/>
    <w:next w:val="Normal"/>
    <w:autoRedefine/>
    <w:uiPriority w:val="39"/>
    <w:qFormat/>
    <w:rsid w:val="00221487"/>
    <w:pPr>
      <w:spacing w:after="0" w:line="240" w:lineRule="auto"/>
      <w:ind w:left="220"/>
    </w:pPr>
    <w:rPr>
      <w:rFonts w:eastAsia="Times New Roman" w:cstheme="minorHAnsi"/>
      <w:noProof/>
      <w:sz w:val="20"/>
      <w:szCs w:val="20"/>
      <w:lang w:val="sq-AL"/>
    </w:rPr>
  </w:style>
  <w:style w:type="paragraph" w:styleId="TOC4">
    <w:name w:val="toc 4"/>
    <w:basedOn w:val="Normal"/>
    <w:next w:val="Normal"/>
    <w:autoRedefine/>
    <w:semiHidden/>
    <w:rsid w:val="00221487"/>
    <w:pPr>
      <w:spacing w:after="0" w:line="240" w:lineRule="auto"/>
      <w:ind w:left="440"/>
    </w:pPr>
    <w:rPr>
      <w:rFonts w:eastAsia="Times New Roman" w:cstheme="minorHAnsi"/>
      <w:noProof/>
      <w:sz w:val="20"/>
      <w:szCs w:val="20"/>
      <w:lang w:val="sq-AL"/>
    </w:rPr>
  </w:style>
  <w:style w:type="paragraph" w:styleId="TOC5">
    <w:name w:val="toc 5"/>
    <w:basedOn w:val="Normal"/>
    <w:next w:val="Normal"/>
    <w:autoRedefine/>
    <w:semiHidden/>
    <w:rsid w:val="00221487"/>
    <w:pPr>
      <w:spacing w:after="0" w:line="240" w:lineRule="auto"/>
      <w:ind w:left="660"/>
    </w:pPr>
    <w:rPr>
      <w:rFonts w:eastAsia="Times New Roman" w:cstheme="minorHAnsi"/>
      <w:noProof/>
      <w:sz w:val="20"/>
      <w:szCs w:val="20"/>
      <w:lang w:val="sq-AL"/>
    </w:rPr>
  </w:style>
  <w:style w:type="paragraph" w:styleId="TOC6">
    <w:name w:val="toc 6"/>
    <w:basedOn w:val="Normal"/>
    <w:next w:val="Normal"/>
    <w:autoRedefine/>
    <w:semiHidden/>
    <w:rsid w:val="00221487"/>
    <w:pPr>
      <w:spacing w:after="0" w:line="240" w:lineRule="auto"/>
      <w:ind w:left="880"/>
    </w:pPr>
    <w:rPr>
      <w:rFonts w:eastAsia="Times New Roman" w:cstheme="minorHAnsi"/>
      <w:noProof/>
      <w:sz w:val="20"/>
      <w:szCs w:val="20"/>
      <w:lang w:val="sq-AL"/>
    </w:rPr>
  </w:style>
  <w:style w:type="paragraph" w:styleId="TOC7">
    <w:name w:val="toc 7"/>
    <w:basedOn w:val="Normal"/>
    <w:next w:val="Normal"/>
    <w:autoRedefine/>
    <w:semiHidden/>
    <w:rsid w:val="00221487"/>
    <w:pPr>
      <w:spacing w:after="0" w:line="240" w:lineRule="auto"/>
      <w:ind w:left="1100"/>
    </w:pPr>
    <w:rPr>
      <w:rFonts w:eastAsia="Times New Roman" w:cstheme="minorHAnsi"/>
      <w:noProof/>
      <w:sz w:val="20"/>
      <w:szCs w:val="20"/>
      <w:lang w:val="sq-AL"/>
    </w:rPr>
  </w:style>
  <w:style w:type="paragraph" w:styleId="TOC8">
    <w:name w:val="toc 8"/>
    <w:basedOn w:val="Normal"/>
    <w:next w:val="Normal"/>
    <w:autoRedefine/>
    <w:semiHidden/>
    <w:rsid w:val="00221487"/>
    <w:pPr>
      <w:spacing w:after="0" w:line="240" w:lineRule="auto"/>
      <w:ind w:left="1320"/>
    </w:pPr>
    <w:rPr>
      <w:rFonts w:eastAsia="Times New Roman" w:cstheme="minorHAnsi"/>
      <w:noProof/>
      <w:sz w:val="20"/>
      <w:szCs w:val="20"/>
      <w:lang w:val="sq-AL"/>
    </w:rPr>
  </w:style>
  <w:style w:type="paragraph" w:styleId="TOC9">
    <w:name w:val="toc 9"/>
    <w:basedOn w:val="Normal"/>
    <w:next w:val="Normal"/>
    <w:autoRedefine/>
    <w:semiHidden/>
    <w:rsid w:val="00221487"/>
    <w:pPr>
      <w:spacing w:after="0" w:line="240" w:lineRule="auto"/>
      <w:ind w:left="1540"/>
    </w:pPr>
    <w:rPr>
      <w:rFonts w:eastAsia="Times New Roman" w:cstheme="minorHAnsi"/>
      <w:noProof/>
      <w:sz w:val="20"/>
      <w:szCs w:val="20"/>
      <w:lang w:val="sq-AL"/>
    </w:rPr>
  </w:style>
  <w:style w:type="character" w:styleId="Hyperlink">
    <w:name w:val="Hyperlink"/>
    <w:uiPriority w:val="99"/>
    <w:rsid w:val="00221487"/>
    <w:rPr>
      <w:color w:val="0000FF"/>
      <w:u w:val="single"/>
    </w:rPr>
  </w:style>
  <w:style w:type="paragraph" w:styleId="Title">
    <w:name w:val="Title"/>
    <w:basedOn w:val="Normal"/>
    <w:link w:val="TitleChar"/>
    <w:qFormat/>
    <w:rsid w:val="00221487"/>
    <w:pPr>
      <w:spacing w:after="0" w:line="240" w:lineRule="auto"/>
      <w:jc w:val="center"/>
    </w:pPr>
    <w:rPr>
      <w:rFonts w:ascii="Times New Roman" w:eastAsia="Times New Roman" w:hAnsi="Times New Roman" w:cs="Times New Roman"/>
      <w:b/>
      <w:noProof/>
      <w:sz w:val="20"/>
      <w:szCs w:val="20"/>
      <w:lang w:val="sq-AL"/>
    </w:rPr>
  </w:style>
  <w:style w:type="character" w:customStyle="1" w:styleId="TitleChar">
    <w:name w:val="Title Char"/>
    <w:basedOn w:val="DefaultParagraphFont"/>
    <w:link w:val="Title"/>
    <w:rsid w:val="00221487"/>
    <w:rPr>
      <w:rFonts w:ascii="Times New Roman" w:eastAsia="Times New Roman" w:hAnsi="Times New Roman" w:cs="Times New Roman"/>
      <w:b/>
      <w:noProof/>
      <w:sz w:val="20"/>
      <w:szCs w:val="20"/>
      <w:lang w:val="sq-AL"/>
    </w:rPr>
  </w:style>
  <w:style w:type="paragraph" w:styleId="ListParagraph">
    <w:name w:val="List Paragraph"/>
    <w:aliases w:val="Akapit z listą BS,List Paragraph1,Bullet1,List Paragraph (numbered (a)),Normal 1,List Paragraph 1,Bullets,NumberedParas,Dot pt,F5 List Paragraph,List Paragraph Char Char Char,Indicator Text,Numbered Para 1,Bullet 1,Bullet Points,heading 4"/>
    <w:basedOn w:val="Normal"/>
    <w:link w:val="ListParagraphChar"/>
    <w:uiPriority w:val="34"/>
    <w:qFormat/>
    <w:rsid w:val="00221487"/>
    <w:pPr>
      <w:spacing w:after="0" w:line="240" w:lineRule="auto"/>
      <w:ind w:left="720"/>
      <w:contextualSpacing/>
      <w:jc w:val="both"/>
    </w:pPr>
    <w:rPr>
      <w:rFonts w:ascii="Times New Roman" w:eastAsia="Times New Roman" w:hAnsi="Times New Roman" w:cs="Times New Roman"/>
      <w:noProof/>
      <w:lang w:val="sq-AL"/>
    </w:rPr>
  </w:style>
  <w:style w:type="character" w:customStyle="1" w:styleId="ListParagraphChar">
    <w:name w:val="List Paragraph Char"/>
    <w:aliases w:val="Akapit z listą BS Char,List Paragraph1 Char,Bullet1 Char,List Paragraph (numbered (a)) Char,Normal 1 Char,List Paragraph 1 Char,Bullets Char,NumberedParas Char,Dot pt Char,F5 List Paragraph Char,List Paragraph Char Char Char Char"/>
    <w:basedOn w:val="DefaultParagraphFont"/>
    <w:link w:val="ListParagraph"/>
    <w:uiPriority w:val="34"/>
    <w:qFormat/>
    <w:locked/>
    <w:rsid w:val="00221487"/>
    <w:rPr>
      <w:rFonts w:ascii="Times New Roman" w:eastAsia="Times New Roman" w:hAnsi="Times New Roman" w:cs="Times New Roman"/>
      <w:noProof/>
      <w:lang w:val="sq-AL"/>
    </w:rPr>
  </w:style>
  <w:style w:type="paragraph" w:customStyle="1" w:styleId="StyleBodyTextLeft0cmFirstline0cmChar">
    <w:name w:val="Style Body Text + Left:  0 cm First line:  0 cm Char"/>
    <w:basedOn w:val="BodyText"/>
    <w:link w:val="StyleBodyTextLeft0cmFirstline0cmCharChar"/>
    <w:rsid w:val="00221487"/>
    <w:pPr>
      <w:tabs>
        <w:tab w:val="clear" w:pos="4680"/>
        <w:tab w:val="num" w:pos="1080"/>
      </w:tabs>
      <w:spacing w:line="240" w:lineRule="auto"/>
      <w:ind w:left="1080" w:hanging="360"/>
      <w:jc w:val="both"/>
    </w:pPr>
    <w:rPr>
      <w:b w:val="0"/>
      <w:szCs w:val="20"/>
      <w:lang w:eastAsia="fr-FR"/>
    </w:rPr>
  </w:style>
  <w:style w:type="character" w:customStyle="1" w:styleId="StyleBodyTextLeft0cmFirstline0cmCharChar">
    <w:name w:val="Style Body Text + Left:  0 cm First line:  0 cm Char Char"/>
    <w:link w:val="StyleBodyTextLeft0cmFirstline0cmChar"/>
    <w:rsid w:val="00221487"/>
    <w:rPr>
      <w:rFonts w:ascii="Times New Roman" w:eastAsia="Times New Roman" w:hAnsi="Times New Roman" w:cs="Times New Roman"/>
      <w:noProof/>
      <w:szCs w:val="20"/>
      <w:lang w:val="sq-AL" w:eastAsia="fr-FR"/>
    </w:rPr>
  </w:style>
  <w:style w:type="paragraph" w:customStyle="1" w:styleId="TableText">
    <w:name w:val="Table Text"/>
    <w:basedOn w:val="BodyText"/>
    <w:rsid w:val="00221487"/>
    <w:pPr>
      <w:tabs>
        <w:tab w:val="clear" w:pos="4680"/>
      </w:tabs>
      <w:spacing w:before="40" w:after="40" w:line="240" w:lineRule="auto"/>
      <w:jc w:val="left"/>
    </w:pPr>
    <w:rPr>
      <w:rFonts w:ascii="Trebuchet MS" w:hAnsi="Trebuchet MS"/>
      <w:b w:val="0"/>
      <w:sz w:val="18"/>
      <w:szCs w:val="20"/>
    </w:rPr>
  </w:style>
  <w:style w:type="paragraph" w:customStyle="1" w:styleId="ListBullet1">
    <w:name w:val="List Bullet1"/>
    <w:basedOn w:val="Normal"/>
    <w:link w:val="ListbulletChar"/>
    <w:rsid w:val="00221487"/>
    <w:pPr>
      <w:tabs>
        <w:tab w:val="num" w:pos="357"/>
      </w:tabs>
      <w:spacing w:after="120" w:line="240" w:lineRule="auto"/>
      <w:ind w:left="357" w:hanging="357"/>
      <w:jc w:val="both"/>
    </w:pPr>
    <w:rPr>
      <w:rFonts w:ascii="Trebuchet MS" w:eastAsia="Times New Roman" w:hAnsi="Trebuchet MS" w:cs="Times New Roman"/>
      <w:noProof/>
      <w:sz w:val="21"/>
      <w:szCs w:val="20"/>
      <w:lang w:val="sq-AL" w:eastAsia="zh-CN"/>
    </w:rPr>
  </w:style>
  <w:style w:type="character" w:customStyle="1" w:styleId="ListbulletChar">
    <w:name w:val="List bullet Char"/>
    <w:link w:val="ListBullet1"/>
    <w:rsid w:val="00221487"/>
    <w:rPr>
      <w:rFonts w:ascii="Trebuchet MS" w:eastAsia="Times New Roman" w:hAnsi="Trebuchet MS" w:cs="Times New Roman"/>
      <w:noProof/>
      <w:sz w:val="21"/>
      <w:szCs w:val="20"/>
      <w:lang w:val="sq-AL" w:eastAsia="zh-CN"/>
    </w:rPr>
  </w:style>
  <w:style w:type="paragraph" w:customStyle="1" w:styleId="Listbulletlast">
    <w:name w:val="List bullet last"/>
    <w:basedOn w:val="ListBullet1"/>
    <w:rsid w:val="00221487"/>
    <w:pPr>
      <w:spacing w:after="240"/>
    </w:pPr>
  </w:style>
  <w:style w:type="paragraph" w:customStyle="1" w:styleId="Table2">
    <w:name w:val="Table2"/>
    <w:basedOn w:val="Normal"/>
    <w:rsid w:val="00221487"/>
    <w:pPr>
      <w:keepNext/>
      <w:tabs>
        <w:tab w:val="num" w:pos="720"/>
      </w:tabs>
      <w:spacing w:before="360" w:after="240" w:line="240" w:lineRule="auto"/>
      <w:ind w:left="720" w:hanging="720"/>
      <w:jc w:val="both"/>
    </w:pPr>
    <w:rPr>
      <w:rFonts w:ascii="Trebuchet MS" w:eastAsia="Times New Roman" w:hAnsi="Trebuchet MS" w:cs="Times New Roman"/>
      <w:b/>
      <w:noProof/>
      <w:szCs w:val="20"/>
      <w:lang w:val="sq-AL" w:eastAsia="en-GB"/>
    </w:rPr>
  </w:style>
  <w:style w:type="paragraph" w:customStyle="1" w:styleId="Listnumbertable">
    <w:name w:val="List number table"/>
    <w:basedOn w:val="ListNumber"/>
    <w:rsid w:val="00221487"/>
    <w:pPr>
      <w:tabs>
        <w:tab w:val="clear" w:pos="720"/>
        <w:tab w:val="num" w:pos="357"/>
        <w:tab w:val="left" w:pos="4962"/>
      </w:tabs>
      <w:spacing w:after="120"/>
      <w:ind w:left="357" w:hanging="357"/>
    </w:pPr>
    <w:rPr>
      <w:rFonts w:ascii="Trebuchet MS" w:hAnsi="Trebuchet MS"/>
      <w:sz w:val="18"/>
      <w:szCs w:val="20"/>
      <w:lang w:eastAsia="en-GB"/>
    </w:rPr>
  </w:style>
  <w:style w:type="paragraph" w:styleId="ListNumber">
    <w:name w:val="List Number"/>
    <w:basedOn w:val="Normal"/>
    <w:rsid w:val="00221487"/>
    <w:pPr>
      <w:tabs>
        <w:tab w:val="num" w:pos="720"/>
      </w:tabs>
      <w:spacing w:after="0" w:line="240" w:lineRule="auto"/>
      <w:ind w:left="720" w:hanging="360"/>
      <w:jc w:val="both"/>
    </w:pPr>
    <w:rPr>
      <w:rFonts w:ascii="Times New Roman" w:eastAsia="Times New Roman" w:hAnsi="Times New Roman" w:cs="Times New Roman"/>
      <w:noProof/>
      <w:lang w:val="sq-AL"/>
    </w:rPr>
  </w:style>
  <w:style w:type="paragraph" w:styleId="BalloonText">
    <w:name w:val="Balloon Text"/>
    <w:basedOn w:val="Normal"/>
    <w:link w:val="BalloonTextChar"/>
    <w:uiPriority w:val="99"/>
    <w:semiHidden/>
    <w:rsid w:val="00221487"/>
    <w:pPr>
      <w:spacing w:after="0" w:line="240" w:lineRule="auto"/>
      <w:jc w:val="both"/>
    </w:pPr>
    <w:rPr>
      <w:rFonts w:ascii="Tahoma" w:eastAsia="Times New Roman" w:hAnsi="Tahoma" w:cs="Tahoma"/>
      <w:noProof/>
      <w:sz w:val="16"/>
      <w:szCs w:val="16"/>
      <w:lang w:val="sq-AL"/>
    </w:rPr>
  </w:style>
  <w:style w:type="character" w:customStyle="1" w:styleId="BalloonTextChar">
    <w:name w:val="Balloon Text Char"/>
    <w:basedOn w:val="DefaultParagraphFont"/>
    <w:link w:val="BalloonText"/>
    <w:uiPriority w:val="99"/>
    <w:semiHidden/>
    <w:rsid w:val="00221487"/>
    <w:rPr>
      <w:rFonts w:ascii="Tahoma" w:eastAsia="Times New Roman" w:hAnsi="Tahoma" w:cs="Tahoma"/>
      <w:noProof/>
      <w:sz w:val="16"/>
      <w:szCs w:val="16"/>
      <w:lang w:val="sq-AL"/>
    </w:rPr>
  </w:style>
  <w:style w:type="character" w:styleId="CommentReference">
    <w:name w:val="annotation reference"/>
    <w:uiPriority w:val="99"/>
    <w:semiHidden/>
    <w:rsid w:val="00221487"/>
    <w:rPr>
      <w:sz w:val="16"/>
      <w:szCs w:val="16"/>
    </w:rPr>
  </w:style>
  <w:style w:type="paragraph" w:styleId="CommentText">
    <w:name w:val="annotation text"/>
    <w:basedOn w:val="Normal"/>
    <w:link w:val="CommentTextChar"/>
    <w:uiPriority w:val="99"/>
    <w:rsid w:val="00221487"/>
    <w:pPr>
      <w:spacing w:after="0" w:line="240" w:lineRule="auto"/>
      <w:jc w:val="both"/>
    </w:pPr>
    <w:rPr>
      <w:rFonts w:ascii="Times New Roman" w:eastAsia="Times New Roman" w:hAnsi="Times New Roman" w:cs="Times New Roman"/>
      <w:noProof/>
      <w:sz w:val="20"/>
      <w:szCs w:val="20"/>
      <w:lang w:val="sq-AL"/>
    </w:rPr>
  </w:style>
  <w:style w:type="character" w:customStyle="1" w:styleId="CommentTextChar">
    <w:name w:val="Comment Text Char"/>
    <w:basedOn w:val="DefaultParagraphFont"/>
    <w:link w:val="CommentText"/>
    <w:uiPriority w:val="99"/>
    <w:rsid w:val="00221487"/>
    <w:rPr>
      <w:rFonts w:ascii="Times New Roman" w:eastAsia="Times New Roman" w:hAnsi="Times New Roman" w:cs="Times New Roman"/>
      <w:noProof/>
      <w:sz w:val="20"/>
      <w:szCs w:val="20"/>
      <w:lang w:val="sq-AL"/>
    </w:rPr>
  </w:style>
  <w:style w:type="paragraph" w:styleId="CommentSubject">
    <w:name w:val="annotation subject"/>
    <w:basedOn w:val="CommentText"/>
    <w:next w:val="CommentText"/>
    <w:link w:val="CommentSubjectChar"/>
    <w:uiPriority w:val="99"/>
    <w:semiHidden/>
    <w:rsid w:val="00221487"/>
    <w:rPr>
      <w:b/>
      <w:bCs/>
    </w:rPr>
  </w:style>
  <w:style w:type="character" w:customStyle="1" w:styleId="CommentSubjectChar">
    <w:name w:val="Comment Subject Char"/>
    <w:basedOn w:val="CommentTextChar"/>
    <w:link w:val="CommentSubject"/>
    <w:uiPriority w:val="99"/>
    <w:semiHidden/>
    <w:rsid w:val="00221487"/>
    <w:rPr>
      <w:rFonts w:ascii="Times New Roman" w:eastAsia="Times New Roman" w:hAnsi="Times New Roman" w:cs="Times New Roman"/>
      <w:b/>
      <w:bCs/>
      <w:noProof/>
      <w:sz w:val="20"/>
      <w:szCs w:val="20"/>
      <w:lang w:val="sq-AL"/>
    </w:rPr>
  </w:style>
  <w:style w:type="paragraph" w:customStyle="1" w:styleId="Heading1a">
    <w:name w:val="Heading 1a"/>
    <w:basedOn w:val="Normal"/>
    <w:next w:val="Normal"/>
    <w:rsid w:val="00221487"/>
    <w:pPr>
      <w:keepNext/>
      <w:keepLines/>
      <w:spacing w:before="1440" w:after="240" w:line="240" w:lineRule="auto"/>
      <w:jc w:val="center"/>
      <w:outlineLvl w:val="0"/>
    </w:pPr>
    <w:rPr>
      <w:rFonts w:ascii="Times New Roman" w:eastAsia="MS Mincho" w:hAnsi="Times New Roman" w:cs="Times New Roman"/>
      <w:b/>
      <w:caps/>
      <w:noProof/>
      <w:sz w:val="32"/>
      <w:lang w:val="sq-AL"/>
    </w:rPr>
  </w:style>
  <w:style w:type="paragraph" w:customStyle="1" w:styleId="MainParanoChapter">
    <w:name w:val="Main Para no Chapter #"/>
    <w:basedOn w:val="Normal"/>
    <w:rsid w:val="00221487"/>
    <w:pPr>
      <w:tabs>
        <w:tab w:val="num" w:pos="720"/>
      </w:tabs>
      <w:spacing w:after="240" w:line="240" w:lineRule="auto"/>
      <w:ind w:left="720" w:hanging="720"/>
      <w:jc w:val="both"/>
      <w:outlineLvl w:val="1"/>
    </w:pPr>
    <w:rPr>
      <w:rFonts w:ascii="Times New Roman" w:eastAsia="MS Mincho" w:hAnsi="Times New Roman" w:cs="Times New Roman"/>
      <w:noProof/>
      <w:lang w:val="sq-AL"/>
    </w:rPr>
  </w:style>
  <w:style w:type="paragraph" w:customStyle="1" w:styleId="Sub-Para1underX">
    <w:name w:val="Sub-Para 1 under X."/>
    <w:basedOn w:val="Normal"/>
    <w:rsid w:val="00221487"/>
    <w:pPr>
      <w:spacing w:after="240" w:line="240" w:lineRule="auto"/>
      <w:ind w:left="1440" w:hanging="720"/>
      <w:jc w:val="both"/>
      <w:outlineLvl w:val="2"/>
    </w:pPr>
    <w:rPr>
      <w:rFonts w:ascii="Times New Roman" w:eastAsia="MS Mincho" w:hAnsi="Times New Roman" w:cs="Times New Roman"/>
      <w:noProof/>
      <w:lang w:val="sq-AL"/>
    </w:rPr>
  </w:style>
  <w:style w:type="paragraph" w:customStyle="1" w:styleId="Sub-Para2underX">
    <w:name w:val="Sub-Para 2 under X."/>
    <w:basedOn w:val="Normal"/>
    <w:rsid w:val="00221487"/>
    <w:pPr>
      <w:spacing w:after="240" w:line="240" w:lineRule="auto"/>
      <w:ind w:left="2160" w:hanging="720"/>
      <w:jc w:val="both"/>
      <w:outlineLvl w:val="3"/>
    </w:pPr>
    <w:rPr>
      <w:rFonts w:ascii="Times New Roman" w:eastAsia="MS Mincho" w:hAnsi="Times New Roman" w:cs="Times New Roman"/>
      <w:noProof/>
      <w:lang w:val="sq-AL"/>
    </w:rPr>
  </w:style>
  <w:style w:type="paragraph" w:customStyle="1" w:styleId="Sub-Para3underX">
    <w:name w:val="Sub-Para 3 under X."/>
    <w:basedOn w:val="Normal"/>
    <w:rsid w:val="00221487"/>
    <w:pPr>
      <w:spacing w:after="240" w:line="240" w:lineRule="auto"/>
      <w:ind w:left="2880" w:hanging="720"/>
      <w:jc w:val="both"/>
      <w:outlineLvl w:val="4"/>
    </w:pPr>
    <w:rPr>
      <w:rFonts w:ascii="Times New Roman" w:eastAsia="MS Mincho" w:hAnsi="Times New Roman" w:cs="Times New Roman"/>
      <w:noProof/>
      <w:lang w:val="sq-AL"/>
    </w:rPr>
  </w:style>
  <w:style w:type="paragraph" w:customStyle="1" w:styleId="Sub-Para4underX">
    <w:name w:val="Sub-Para 4 under X."/>
    <w:basedOn w:val="Normal"/>
    <w:rsid w:val="00221487"/>
    <w:pPr>
      <w:spacing w:after="240" w:line="240" w:lineRule="auto"/>
      <w:ind w:left="3600" w:hanging="720"/>
      <w:jc w:val="both"/>
      <w:outlineLvl w:val="5"/>
    </w:pPr>
    <w:rPr>
      <w:rFonts w:ascii="Times New Roman" w:eastAsia="MS Mincho" w:hAnsi="Times New Roman" w:cs="Times New Roman"/>
      <w:noProof/>
      <w:lang w:val="sq-AL"/>
    </w:rPr>
  </w:style>
  <w:style w:type="character" w:customStyle="1" w:styleId="homelinks">
    <w:name w:val="homelinks"/>
    <w:basedOn w:val="DefaultParagraphFont"/>
    <w:rsid w:val="00221487"/>
  </w:style>
  <w:style w:type="paragraph" w:customStyle="1" w:styleId="Default">
    <w:name w:val="Default"/>
    <w:rsid w:val="00221487"/>
    <w:pPr>
      <w:autoSpaceDE w:val="0"/>
      <w:autoSpaceDN w:val="0"/>
      <w:adjustRightInd w:val="0"/>
      <w:spacing w:after="0" w:line="240" w:lineRule="auto"/>
    </w:pPr>
    <w:rPr>
      <w:rFonts w:ascii="Arial" w:eastAsia="Calibri" w:hAnsi="Arial" w:cs="Arial"/>
      <w:color w:val="000000"/>
      <w:sz w:val="24"/>
      <w:szCs w:val="24"/>
    </w:rPr>
  </w:style>
  <w:style w:type="paragraph" w:styleId="NoSpacing">
    <w:name w:val="No Spacing"/>
    <w:link w:val="NoSpacingChar"/>
    <w:uiPriority w:val="1"/>
    <w:qFormat/>
    <w:rsid w:val="00221487"/>
    <w:pPr>
      <w:spacing w:after="0" w:line="240" w:lineRule="auto"/>
    </w:pPr>
    <w:rPr>
      <w:rFonts w:ascii="Times New Roman" w:eastAsia="Times New Roman" w:hAnsi="Times New Roman" w:cs="Times New Roman"/>
      <w:sz w:val="20"/>
      <w:szCs w:val="20"/>
    </w:rPr>
  </w:style>
  <w:style w:type="character" w:customStyle="1" w:styleId="NoSpacingChar">
    <w:name w:val="No Spacing Char"/>
    <w:basedOn w:val="DefaultParagraphFont"/>
    <w:link w:val="NoSpacing"/>
    <w:uiPriority w:val="1"/>
    <w:rsid w:val="00221487"/>
    <w:rPr>
      <w:rFonts w:ascii="Times New Roman" w:eastAsia="Times New Roman" w:hAnsi="Times New Roman" w:cs="Times New Roman"/>
      <w:sz w:val="20"/>
      <w:szCs w:val="20"/>
    </w:rPr>
  </w:style>
  <w:style w:type="character" w:customStyle="1" w:styleId="yiv1582416064hps">
    <w:name w:val="yiv1582416064hps"/>
    <w:basedOn w:val="DefaultParagraphFont"/>
    <w:rsid w:val="00221487"/>
  </w:style>
  <w:style w:type="character" w:customStyle="1" w:styleId="FootnoteTextCharCharCharChar">
    <w:name w:val="Footnote Text Char Char Char Char"/>
    <w:aliases w:val="Footnote Text Char Char Char1,Fußnote Char,single space Char,footnote text Char Char,Footnote Text Char1,Footnote Text Char Char1,Footnote Char,Footnote Text Char1 Char Char,Footnote Text Char1 Char Char Char Char"/>
    <w:uiPriority w:val="99"/>
    <w:rsid w:val="00221487"/>
    <w:rPr>
      <w:rFonts w:ascii="Arial" w:eastAsia="Times New Roman" w:hAnsi="Arial" w:cs="Times New Roman"/>
      <w:sz w:val="20"/>
      <w:szCs w:val="20"/>
      <w:lang w:val="en-GB" w:eastAsia="en-GB"/>
    </w:rPr>
  </w:style>
  <w:style w:type="paragraph" w:customStyle="1" w:styleId="FaxBod">
    <w:name w:val="FaxBod"/>
    <w:basedOn w:val="Heading5"/>
    <w:rsid w:val="00221487"/>
    <w:pPr>
      <w:keepNext w:val="0"/>
      <w:tabs>
        <w:tab w:val="left" w:pos="-540"/>
        <w:tab w:val="left" w:pos="0"/>
        <w:tab w:val="num" w:pos="360"/>
      </w:tabs>
      <w:spacing w:after="240"/>
      <w:ind w:left="450" w:hanging="720"/>
      <w:jc w:val="left"/>
      <w:outlineLvl w:val="9"/>
    </w:pPr>
    <w:rPr>
      <w:bCs w:val="0"/>
      <w:szCs w:val="20"/>
      <w:u w:val="none"/>
    </w:rPr>
  </w:style>
  <w:style w:type="character" w:customStyle="1" w:styleId="CharacterStyle1">
    <w:name w:val="Character Style 1"/>
    <w:rsid w:val="00221487"/>
    <w:rPr>
      <w:sz w:val="20"/>
    </w:rPr>
  </w:style>
  <w:style w:type="character" w:customStyle="1" w:styleId="CharChar26">
    <w:name w:val="Char Char26"/>
    <w:locked/>
    <w:rsid w:val="00221487"/>
    <w:rPr>
      <w:b/>
      <w:bCs/>
      <w:sz w:val="24"/>
      <w:szCs w:val="24"/>
      <w:lang w:val="en-US" w:eastAsia="en-US"/>
    </w:rPr>
  </w:style>
  <w:style w:type="character" w:customStyle="1" w:styleId="FootnoteTextCharCharCharChar1">
    <w:name w:val="Footnote Text Char Char Char Char1"/>
    <w:aliases w:val="Footnote Text Char Char Char2,Fußnote Char1,single space Char Char"/>
    <w:locked/>
    <w:rsid w:val="00221487"/>
  </w:style>
  <w:style w:type="character" w:customStyle="1" w:styleId="hps">
    <w:name w:val="hps"/>
    <w:basedOn w:val="DefaultParagraphFont"/>
    <w:rsid w:val="00221487"/>
  </w:style>
  <w:style w:type="paragraph" w:customStyle="1" w:styleId="Heading41">
    <w:name w:val="Heading 4.1"/>
    <w:basedOn w:val="Heading5"/>
    <w:rsid w:val="00221487"/>
    <w:pPr>
      <w:jc w:val="center"/>
    </w:pPr>
    <w:rPr>
      <w:b/>
      <w:bCs w:val="0"/>
    </w:rPr>
  </w:style>
  <w:style w:type="character" w:styleId="Strong">
    <w:name w:val="Strong"/>
    <w:basedOn w:val="DefaultParagraphFont"/>
    <w:uiPriority w:val="22"/>
    <w:qFormat/>
    <w:rsid w:val="00221487"/>
    <w:rPr>
      <w:b/>
      <w:bCs/>
    </w:rPr>
  </w:style>
  <w:style w:type="paragraph" w:customStyle="1" w:styleId="Body1">
    <w:name w:val="Body 1"/>
    <w:rsid w:val="00221487"/>
    <w:pPr>
      <w:spacing w:after="0" w:line="240" w:lineRule="auto"/>
      <w:ind w:left="720" w:hanging="360"/>
      <w:jc w:val="both"/>
      <w:outlineLvl w:val="0"/>
    </w:pPr>
    <w:rPr>
      <w:rFonts w:ascii="Times New Roman" w:eastAsia="Arial Unicode MS" w:hAnsi="Times New Roman" w:cs="Times New Roman"/>
      <w:color w:val="000000"/>
      <w:sz w:val="24"/>
      <w:szCs w:val="20"/>
      <w:u w:color="000000"/>
    </w:rPr>
  </w:style>
  <w:style w:type="paragraph" w:styleId="Subtitle">
    <w:name w:val="Subtitle"/>
    <w:basedOn w:val="Normal"/>
    <w:next w:val="Normal"/>
    <w:link w:val="SubtitleChar"/>
    <w:qFormat/>
    <w:rsid w:val="00221487"/>
    <w:pPr>
      <w:numPr>
        <w:ilvl w:val="1"/>
      </w:numPr>
      <w:spacing w:after="0" w:line="240" w:lineRule="auto"/>
      <w:jc w:val="both"/>
    </w:pPr>
    <w:rPr>
      <w:rFonts w:asciiTheme="majorHAnsi" w:eastAsiaTheme="majorEastAsia" w:hAnsiTheme="majorHAnsi" w:cstheme="majorBidi"/>
      <w:i/>
      <w:iCs/>
      <w:noProof/>
      <w:color w:val="4F81BD" w:themeColor="accent1"/>
      <w:spacing w:val="15"/>
      <w:lang w:val="sq-AL"/>
    </w:rPr>
  </w:style>
  <w:style w:type="character" w:customStyle="1" w:styleId="SubtitleChar">
    <w:name w:val="Subtitle Char"/>
    <w:basedOn w:val="DefaultParagraphFont"/>
    <w:link w:val="Subtitle"/>
    <w:rsid w:val="00221487"/>
    <w:rPr>
      <w:rFonts w:asciiTheme="majorHAnsi" w:eastAsiaTheme="majorEastAsia" w:hAnsiTheme="majorHAnsi" w:cstheme="majorBidi"/>
      <w:i/>
      <w:iCs/>
      <w:noProof/>
      <w:color w:val="4F81BD" w:themeColor="accent1"/>
      <w:spacing w:val="15"/>
      <w:lang w:val="sq-AL"/>
    </w:rPr>
  </w:style>
  <w:style w:type="paragraph" w:styleId="TOCHeading">
    <w:name w:val="TOC Heading"/>
    <w:basedOn w:val="Heading1"/>
    <w:next w:val="Normal"/>
    <w:uiPriority w:val="39"/>
    <w:unhideWhenUsed/>
    <w:qFormat/>
    <w:rsid w:val="00221487"/>
    <w:pPr>
      <w:keepLines/>
      <w:numPr>
        <w:numId w:val="0"/>
      </w:numPr>
      <w:spacing w:before="480" w:line="276" w:lineRule="auto"/>
      <w:outlineLvl w:val="9"/>
    </w:pPr>
    <w:rPr>
      <w:rFonts w:asciiTheme="majorHAnsi" w:eastAsiaTheme="majorEastAsia" w:hAnsiTheme="majorHAnsi" w:cstheme="majorBidi"/>
      <w:color w:val="365F91" w:themeColor="accent1" w:themeShade="BF"/>
      <w:sz w:val="28"/>
      <w:szCs w:val="28"/>
    </w:rPr>
  </w:style>
  <w:style w:type="character" w:styleId="Emphasis">
    <w:name w:val="Emphasis"/>
    <w:basedOn w:val="DefaultParagraphFont"/>
    <w:uiPriority w:val="20"/>
    <w:qFormat/>
    <w:rsid w:val="00221487"/>
    <w:rPr>
      <w:i/>
      <w:iCs/>
    </w:rPr>
  </w:style>
  <w:style w:type="paragraph" w:customStyle="1" w:styleId="OiaeaeiYiio2">
    <w:name w:val="O?ia eaeiYiio 2"/>
    <w:basedOn w:val="Normal"/>
    <w:rsid w:val="00221487"/>
    <w:pPr>
      <w:widowControl w:val="0"/>
      <w:spacing w:after="0" w:line="240" w:lineRule="auto"/>
      <w:jc w:val="right"/>
    </w:pPr>
    <w:rPr>
      <w:rFonts w:ascii="Times New Roman" w:eastAsia="Times New Roman" w:hAnsi="Times New Roman" w:cs="Times New Roman"/>
      <w:i/>
      <w:iCs/>
      <w:noProof/>
      <w:snapToGrid w:val="0"/>
      <w:sz w:val="16"/>
      <w:szCs w:val="16"/>
      <w:lang w:val="sq-AL" w:eastAsia="en-GB"/>
    </w:rPr>
  </w:style>
  <w:style w:type="character" w:customStyle="1" w:styleId="il">
    <w:name w:val="il"/>
    <w:basedOn w:val="DefaultParagraphFont"/>
    <w:rsid w:val="00221487"/>
  </w:style>
  <w:style w:type="table" w:styleId="TableGrid">
    <w:name w:val="Table Grid"/>
    <w:basedOn w:val="TableNormal"/>
    <w:uiPriority w:val="59"/>
    <w:rsid w:val="00221487"/>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essageHeaderLabel">
    <w:name w:val="Message Header Label"/>
    <w:rsid w:val="00221487"/>
    <w:rPr>
      <w:rFonts w:ascii="Arial Black" w:hAnsi="Arial Black" w:hint="default"/>
      <w:spacing w:val="-10"/>
      <w:sz w:val="18"/>
    </w:rPr>
  </w:style>
  <w:style w:type="character" w:customStyle="1" w:styleId="CharAttribute31">
    <w:name w:val="CharAttribute31"/>
    <w:rsid w:val="00221487"/>
    <w:rPr>
      <w:rFonts w:ascii="Calibri" w:eastAsia="Calibri"/>
      <w:sz w:val="22"/>
    </w:rPr>
  </w:style>
  <w:style w:type="paragraph" w:styleId="ListBullet">
    <w:name w:val="List Bullet"/>
    <w:basedOn w:val="Normal"/>
    <w:uiPriority w:val="3"/>
    <w:unhideWhenUsed/>
    <w:qFormat/>
    <w:rsid w:val="00221487"/>
    <w:pPr>
      <w:tabs>
        <w:tab w:val="num" w:pos="360"/>
      </w:tabs>
      <w:spacing w:after="0" w:line="240" w:lineRule="auto"/>
      <w:ind w:left="360" w:hanging="360"/>
      <w:contextualSpacing/>
      <w:jc w:val="both"/>
    </w:pPr>
    <w:rPr>
      <w:rFonts w:ascii="Times New Roman" w:eastAsia="Times New Roman" w:hAnsi="Times New Roman" w:cs="Times New Roman"/>
      <w:noProof/>
      <w:lang w:val="sq-AL"/>
    </w:rPr>
  </w:style>
  <w:style w:type="character" w:customStyle="1" w:styleId="tgc">
    <w:name w:val="_tgc"/>
    <w:basedOn w:val="DefaultParagraphFont"/>
    <w:rsid w:val="00221487"/>
  </w:style>
  <w:style w:type="character" w:customStyle="1" w:styleId="st1">
    <w:name w:val="st1"/>
    <w:basedOn w:val="DefaultParagraphFont"/>
    <w:rsid w:val="00221487"/>
  </w:style>
  <w:style w:type="paragraph" w:customStyle="1" w:styleId="BVIfnrCarCar">
    <w:name w:val="BVI fnr Car Car"/>
    <w:aliases w:val="BVI fnr Car, BVI fnr Car Car Car Car Char"/>
    <w:basedOn w:val="Normal"/>
    <w:uiPriority w:val="99"/>
    <w:rsid w:val="00221487"/>
    <w:pPr>
      <w:spacing w:after="160" w:line="240" w:lineRule="exact"/>
      <w:jc w:val="both"/>
    </w:pPr>
    <w:rPr>
      <w:rFonts w:ascii="Cambria" w:eastAsia="Times New Roman" w:hAnsi="Cambria" w:cs="Times New Roman"/>
      <w:noProof/>
      <w:sz w:val="20"/>
      <w:szCs w:val="20"/>
      <w:vertAlign w:val="superscript"/>
      <w:lang w:val="sq-AL"/>
    </w:rPr>
  </w:style>
  <w:style w:type="paragraph" w:styleId="List4">
    <w:name w:val="List 4"/>
    <w:basedOn w:val="Normal"/>
    <w:rsid w:val="00221487"/>
    <w:pPr>
      <w:spacing w:after="120" w:line="240" w:lineRule="auto"/>
      <w:ind w:left="1132" w:hanging="283"/>
      <w:jc w:val="both"/>
    </w:pPr>
    <w:rPr>
      <w:rFonts w:ascii="Arial" w:eastAsia="Times New Roman" w:hAnsi="Arial" w:cs="Times New Roman"/>
      <w:noProof/>
      <w:sz w:val="20"/>
      <w:szCs w:val="20"/>
      <w:lang w:val="sq-AL" w:eastAsia="en-GB"/>
    </w:rPr>
  </w:style>
  <w:style w:type="paragraph" w:customStyle="1" w:styleId="ParagraphNumbering">
    <w:name w:val="Paragraph Numbering"/>
    <w:basedOn w:val="Normal"/>
    <w:link w:val="ParagraphNumberingChar"/>
    <w:uiPriority w:val="2"/>
    <w:qFormat/>
    <w:rsid w:val="00221487"/>
    <w:pPr>
      <w:tabs>
        <w:tab w:val="num" w:pos="720"/>
      </w:tabs>
      <w:spacing w:after="240" w:line="240" w:lineRule="auto"/>
      <w:jc w:val="both"/>
    </w:pPr>
    <w:rPr>
      <w:rFonts w:ascii="Segoe UI" w:eastAsia="SimSun" w:hAnsi="Segoe UI" w:cs="Times New Roman"/>
      <w:noProof/>
      <w:sz w:val="21"/>
    </w:rPr>
  </w:style>
  <w:style w:type="character" w:customStyle="1" w:styleId="ParagraphNumberingChar">
    <w:name w:val="Paragraph Numbering Char"/>
    <w:basedOn w:val="DefaultParagraphFont"/>
    <w:link w:val="ParagraphNumbering"/>
    <w:uiPriority w:val="2"/>
    <w:locked/>
    <w:rsid w:val="00221487"/>
    <w:rPr>
      <w:rFonts w:ascii="Segoe UI" w:eastAsia="SimSun" w:hAnsi="Segoe UI" w:cs="Times New Roman"/>
      <w:noProof/>
      <w:sz w:val="21"/>
    </w:rPr>
  </w:style>
  <w:style w:type="character" w:customStyle="1" w:styleId="apple-converted-space">
    <w:name w:val="apple-converted-space"/>
    <w:basedOn w:val="DefaultParagraphFont"/>
    <w:rsid w:val="00221487"/>
  </w:style>
  <w:style w:type="paragraph" w:customStyle="1" w:styleId="DefaultText">
    <w:name w:val="Default Text"/>
    <w:basedOn w:val="Normal"/>
    <w:link w:val="DefaultTextChar"/>
    <w:qFormat/>
    <w:rsid w:val="00221487"/>
    <w:pPr>
      <w:spacing w:after="0" w:line="280" w:lineRule="atLeast"/>
      <w:jc w:val="both"/>
    </w:pPr>
    <w:rPr>
      <w:rFonts w:ascii="Arial" w:eastAsia="Times New Roman" w:hAnsi="Arial" w:cs="Times New Roman"/>
      <w:noProof/>
      <w:sz w:val="18"/>
      <w:lang w:val="sq-AL" w:eastAsia="nl-NL"/>
    </w:rPr>
  </w:style>
  <w:style w:type="character" w:customStyle="1" w:styleId="DefaultTextChar">
    <w:name w:val="Default Text Char"/>
    <w:basedOn w:val="DefaultParagraphFont"/>
    <w:link w:val="DefaultText"/>
    <w:rsid w:val="00221487"/>
    <w:rPr>
      <w:rFonts w:ascii="Arial" w:eastAsia="Times New Roman" w:hAnsi="Arial" w:cs="Times New Roman"/>
      <w:noProof/>
      <w:sz w:val="18"/>
      <w:lang w:val="sq-AL" w:eastAsia="nl-NL"/>
    </w:rPr>
  </w:style>
  <w:style w:type="character" w:customStyle="1" w:styleId="list-bullet-colorChar">
    <w:name w:val="list-bullet-color Char"/>
    <w:basedOn w:val="DefaultTextChar"/>
    <w:link w:val="list-bullet-color"/>
    <w:locked/>
    <w:rsid w:val="00221487"/>
    <w:rPr>
      <w:rFonts w:ascii="Arial" w:eastAsia="Times New Roman" w:hAnsi="Arial" w:cs="Times New Roman"/>
      <w:noProof/>
      <w:sz w:val="18"/>
      <w:lang w:val="sq-AL" w:eastAsia="nl-NL"/>
    </w:rPr>
  </w:style>
  <w:style w:type="paragraph" w:customStyle="1" w:styleId="list-bullet-color">
    <w:name w:val="list-bullet-color"/>
    <w:basedOn w:val="DefaultText"/>
    <w:link w:val="list-bullet-colorChar"/>
    <w:rsid w:val="00221487"/>
    <w:pPr>
      <w:numPr>
        <w:numId w:val="1"/>
      </w:numPr>
    </w:pPr>
  </w:style>
  <w:style w:type="paragraph" w:customStyle="1" w:styleId="BoxBullet">
    <w:name w:val="Box Bullet"/>
    <w:basedOn w:val="Normal"/>
    <w:uiPriority w:val="5"/>
    <w:qFormat/>
    <w:rsid w:val="00221487"/>
    <w:pPr>
      <w:numPr>
        <w:numId w:val="2"/>
      </w:numPr>
      <w:spacing w:after="120" w:line="240" w:lineRule="auto"/>
      <w:ind w:left="360"/>
      <w:jc w:val="both"/>
    </w:pPr>
    <w:rPr>
      <w:rFonts w:ascii="Segoe UI" w:eastAsia="MS Mincho" w:hAnsi="Segoe UI" w:cs="Segoe UI"/>
      <w:noProof/>
      <w:sz w:val="19"/>
      <w:szCs w:val="20"/>
    </w:rPr>
  </w:style>
  <w:style w:type="character" w:customStyle="1" w:styleId="alt-edited1">
    <w:name w:val="alt-edited1"/>
    <w:basedOn w:val="DefaultParagraphFont"/>
    <w:rsid w:val="00221487"/>
    <w:rPr>
      <w:color w:val="4D90F0"/>
    </w:rPr>
  </w:style>
  <w:style w:type="paragraph" w:customStyle="1" w:styleId="LightGrid-Accent31">
    <w:name w:val="Light Grid - Accent 31"/>
    <w:basedOn w:val="Normal"/>
    <w:uiPriority w:val="34"/>
    <w:qFormat/>
    <w:rsid w:val="00221487"/>
    <w:pPr>
      <w:ind w:left="720"/>
      <w:contextualSpacing/>
      <w:jc w:val="both"/>
    </w:pPr>
    <w:rPr>
      <w:rFonts w:ascii="Calibri" w:eastAsia="MS PGothic" w:hAnsi="Calibri" w:cs="Times New Roman"/>
      <w:noProof/>
      <w:lang w:val="sq-AL" w:eastAsia="zh-CN"/>
    </w:rPr>
  </w:style>
  <w:style w:type="character" w:customStyle="1" w:styleId="preparersnote">
    <w:name w:val="preparer's note"/>
    <w:rsid w:val="00221487"/>
    <w:rPr>
      <w:b/>
      <w:bCs w:val="0"/>
      <w:i/>
      <w:iCs/>
    </w:rPr>
  </w:style>
  <w:style w:type="paragraph" w:styleId="Revision">
    <w:name w:val="Revision"/>
    <w:hidden/>
    <w:uiPriority w:val="99"/>
    <w:semiHidden/>
    <w:rsid w:val="00221487"/>
    <w:pPr>
      <w:spacing w:after="0" w:line="240" w:lineRule="auto"/>
    </w:pPr>
    <w:rPr>
      <w:rFonts w:ascii="Times New Roman" w:eastAsia="Times New Roman" w:hAnsi="Times New Roman" w:cs="Times New Roman"/>
      <w:sz w:val="24"/>
      <w:szCs w:val="24"/>
      <w:lang w:val="en-GB"/>
    </w:rPr>
  </w:style>
  <w:style w:type="character" w:customStyle="1" w:styleId="normaltextrun">
    <w:name w:val="normaltextrun"/>
    <w:basedOn w:val="DefaultParagraphFont"/>
    <w:rsid w:val="00221487"/>
  </w:style>
  <w:style w:type="character" w:customStyle="1" w:styleId="bumpedfont15">
    <w:name w:val="bumpedfont15"/>
    <w:basedOn w:val="DefaultParagraphFont"/>
    <w:rsid w:val="00221487"/>
  </w:style>
  <w:style w:type="character" w:customStyle="1" w:styleId="s13">
    <w:name w:val="s13"/>
    <w:basedOn w:val="DefaultParagraphFont"/>
    <w:rsid w:val="00221487"/>
  </w:style>
  <w:style w:type="character" w:styleId="FollowedHyperlink">
    <w:name w:val="FollowedHyperlink"/>
    <w:basedOn w:val="DefaultParagraphFont"/>
    <w:uiPriority w:val="99"/>
    <w:semiHidden/>
    <w:unhideWhenUsed/>
    <w:rsid w:val="00221487"/>
    <w:rPr>
      <w:color w:val="800080" w:themeColor="followedHyperlink"/>
      <w:u w:val="single"/>
    </w:rPr>
  </w:style>
  <w:style w:type="character" w:customStyle="1" w:styleId="shorttext">
    <w:name w:val="short_text"/>
    <w:basedOn w:val="DefaultParagraphFont"/>
    <w:rsid w:val="00221487"/>
  </w:style>
  <w:style w:type="paragraph" w:customStyle="1" w:styleId="Body">
    <w:name w:val="Body"/>
    <w:basedOn w:val="Normal"/>
    <w:qFormat/>
    <w:rsid w:val="00221487"/>
    <w:pPr>
      <w:numPr>
        <w:numId w:val="3"/>
      </w:numPr>
      <w:spacing w:before="120" w:after="120" w:line="240" w:lineRule="auto"/>
      <w:ind w:left="0" w:firstLine="0"/>
      <w:jc w:val="both"/>
    </w:pPr>
    <w:rPr>
      <w:rFonts w:ascii="Georgia" w:eastAsia="Times New Roman" w:hAnsi="Georgia" w:cs="Times New Roman"/>
      <w:noProof/>
    </w:rPr>
  </w:style>
  <w:style w:type="character" w:customStyle="1" w:styleId="alt-edited">
    <w:name w:val="alt-edited"/>
    <w:basedOn w:val="DefaultParagraphFont"/>
    <w:rsid w:val="00221487"/>
  </w:style>
  <w:style w:type="character" w:customStyle="1" w:styleId="CaptionChar">
    <w:name w:val="Caption Char"/>
    <w:link w:val="Caption"/>
    <w:rsid w:val="00221487"/>
    <w:rPr>
      <w:rFonts w:ascii="Times New Roman" w:eastAsia="Times New Roman" w:hAnsi="Times New Roman" w:cs="Times New Roman"/>
      <w:b/>
      <w:noProof/>
      <w:lang w:val="sq-AL"/>
    </w:rPr>
  </w:style>
  <w:style w:type="table" w:customStyle="1" w:styleId="TableGrid1">
    <w:name w:val="Table Grid1"/>
    <w:basedOn w:val="TableNormal"/>
    <w:next w:val="TableGrid"/>
    <w:rsid w:val="00221487"/>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rsid w:val="00221487"/>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ColorfulList-Accent6">
    <w:name w:val="Colorful List Accent 6"/>
    <w:basedOn w:val="TableNormal"/>
    <w:uiPriority w:val="72"/>
    <w:rsid w:val="00221487"/>
    <w:pPr>
      <w:spacing w:after="0" w:line="240" w:lineRule="auto"/>
    </w:pPr>
    <w:rPr>
      <w:color w:val="000000" w:themeColor="text1"/>
      <w:lang w:val="sq-AL"/>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customStyle="1" w:styleId="GridTable2-Accent61">
    <w:name w:val="Grid Table 2 - Accent 61"/>
    <w:basedOn w:val="TableNormal"/>
    <w:uiPriority w:val="47"/>
    <w:rsid w:val="00221487"/>
    <w:pPr>
      <w:spacing w:after="0" w:line="240" w:lineRule="auto"/>
    </w:pPr>
    <w:rPr>
      <w:rFonts w:ascii="Times New Roman" w:eastAsia="Times New Roman" w:hAnsi="Times New Roman" w:cs="Times New Roman"/>
      <w:sz w:val="20"/>
      <w:szCs w:val="20"/>
      <w:lang w:val="en-GB" w:eastAsia="en-GB"/>
    </w:rPr>
    <w:tblPr>
      <w:tblStyleRowBandSize w:val="1"/>
      <w:tblStyleColBandSize w:val="1"/>
      <w:tblInd w:w="0" w:type="dxa"/>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CellMar>
        <w:top w:w="0" w:type="dxa"/>
        <w:left w:w="108" w:type="dxa"/>
        <w:bottom w:w="0" w:type="dxa"/>
        <w:right w:w="108" w:type="dxa"/>
      </w:tblCellMar>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2-Accent51">
    <w:name w:val="Grid Table 2 - Accent 51"/>
    <w:basedOn w:val="TableNormal"/>
    <w:uiPriority w:val="47"/>
    <w:rsid w:val="00221487"/>
    <w:pPr>
      <w:spacing w:after="0" w:line="240" w:lineRule="auto"/>
    </w:pPr>
    <w:rPr>
      <w:rFonts w:ascii="Times New Roman" w:eastAsia="Times New Roman" w:hAnsi="Times New Roman" w:cs="Times New Roman"/>
      <w:sz w:val="20"/>
      <w:szCs w:val="20"/>
      <w:lang w:val="en-GB" w:eastAsia="en-GB"/>
    </w:rPr>
    <w:tblPr>
      <w:tblStyleRowBandSize w:val="1"/>
      <w:tblStyleColBandSize w:val="1"/>
      <w:tblInd w:w="0" w:type="dxa"/>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CellMar>
        <w:top w:w="0" w:type="dxa"/>
        <w:left w:w="108" w:type="dxa"/>
        <w:bottom w:w="0" w:type="dxa"/>
        <w:right w:w="108" w:type="dxa"/>
      </w:tblCellMar>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11">
    <w:name w:val="Grid Table 4 - Accent 11"/>
    <w:basedOn w:val="TableNormal"/>
    <w:uiPriority w:val="49"/>
    <w:rsid w:val="00221487"/>
    <w:pPr>
      <w:spacing w:after="0" w:line="240" w:lineRule="auto"/>
    </w:pPr>
    <w:rPr>
      <w:rFonts w:ascii="Times New Roman" w:eastAsia="Times New Roman" w:hAnsi="Times New Roman" w:cs="Times New Roman"/>
      <w:sz w:val="20"/>
      <w:szCs w:val="20"/>
      <w:lang w:val="en-GB" w:eastAsia="en-GB"/>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4-Accent11">
    <w:name w:val="List Table 4 - Accent 11"/>
    <w:basedOn w:val="TableNormal"/>
    <w:uiPriority w:val="49"/>
    <w:rsid w:val="00221487"/>
    <w:pPr>
      <w:spacing w:after="0" w:line="240" w:lineRule="auto"/>
    </w:pPr>
    <w:rPr>
      <w:rFonts w:ascii="Times New Roman" w:eastAsia="Times New Roman" w:hAnsi="Times New Roman" w:cs="Times New Roman"/>
      <w:sz w:val="20"/>
      <w:szCs w:val="20"/>
      <w:lang w:val="en-GB" w:eastAsia="en-GB"/>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subtitle-frontpage">
    <w:name w:val="subtitle-frontpage"/>
    <w:basedOn w:val="Normal"/>
    <w:next w:val="Normal"/>
    <w:uiPriority w:val="99"/>
    <w:rsid w:val="00221487"/>
    <w:pPr>
      <w:spacing w:after="0" w:line="720" w:lineRule="atLeast"/>
      <w:jc w:val="both"/>
    </w:pPr>
    <w:rPr>
      <w:rFonts w:ascii="Arial" w:eastAsia="Times New Roman" w:hAnsi="Arial" w:cs="Times New Roman"/>
      <w:noProof/>
      <w:color w:val="A0A5A5"/>
      <w:sz w:val="44"/>
      <w:szCs w:val="24"/>
      <w:lang w:eastAsia="nl-NL"/>
    </w:rPr>
  </w:style>
  <w:style w:type="character" w:customStyle="1" w:styleId="tlid-translation">
    <w:name w:val="tlid-translation"/>
    <w:basedOn w:val="DefaultParagraphFont"/>
    <w:rsid w:val="00221487"/>
  </w:style>
  <w:style w:type="table" w:customStyle="1" w:styleId="TableGrid0">
    <w:name w:val="TableGrid"/>
    <w:rsid w:val="00221487"/>
    <w:pPr>
      <w:spacing w:after="0" w:line="240" w:lineRule="auto"/>
    </w:pPr>
    <w:rPr>
      <w:rFonts w:eastAsiaTheme="minorEastAsia"/>
    </w:rPr>
    <w:tblPr>
      <w:tblCellMar>
        <w:top w:w="0" w:type="dxa"/>
        <w:left w:w="0" w:type="dxa"/>
        <w:bottom w:w="0" w:type="dxa"/>
        <w:right w:w="0" w:type="dxa"/>
      </w:tblCellMar>
    </w:tblPr>
  </w:style>
  <w:style w:type="table" w:customStyle="1" w:styleId="GridTable4-Accent12">
    <w:name w:val="Grid Table 4 - Accent 12"/>
    <w:basedOn w:val="TableNormal"/>
    <w:uiPriority w:val="49"/>
    <w:rsid w:val="00221487"/>
    <w:pPr>
      <w:spacing w:after="0" w:line="240" w:lineRule="auto"/>
    </w:pPr>
    <w:rPr>
      <w:rFonts w:eastAsiaTheme="minorEastAsia"/>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5923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chart" Target="charts/chart3.xml"/><Relationship Id="rId18" Type="http://schemas.openxmlformats.org/officeDocument/2006/relationships/chart" Target="charts/chart7.xml"/><Relationship Id="rId26" Type="http://schemas.openxmlformats.org/officeDocument/2006/relationships/image" Target="media/image9.emf"/><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image" Target="media/image3.emf"/><Relationship Id="rId17" Type="http://schemas.openxmlformats.org/officeDocument/2006/relationships/chart" Target="charts/chart6.xml"/><Relationship Id="rId25" Type="http://schemas.openxmlformats.org/officeDocument/2006/relationships/image" Target="media/image8.emf"/><Relationship Id="rId2" Type="http://schemas.openxmlformats.org/officeDocument/2006/relationships/styles" Target="styles.xml"/><Relationship Id="rId16" Type="http://schemas.openxmlformats.org/officeDocument/2006/relationships/chart" Target="charts/chart5.xml"/><Relationship Id="rId20" Type="http://schemas.openxmlformats.org/officeDocument/2006/relationships/image" Target="media/image5.emf"/><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2.xml"/><Relationship Id="rId24" Type="http://schemas.openxmlformats.org/officeDocument/2006/relationships/image" Target="media/image7.emf"/><Relationship Id="rId5" Type="http://schemas.openxmlformats.org/officeDocument/2006/relationships/footnotes" Target="footnotes.xml"/><Relationship Id="rId15" Type="http://schemas.openxmlformats.org/officeDocument/2006/relationships/hyperlink" Target="https://eamis.gov.al/mofe/" TargetMode="External"/><Relationship Id="rId23" Type="http://schemas.openxmlformats.org/officeDocument/2006/relationships/image" Target="media/image6.emf"/><Relationship Id="rId28" Type="http://schemas.openxmlformats.org/officeDocument/2006/relationships/image" Target="media/image11.emf"/><Relationship Id="rId10" Type="http://schemas.openxmlformats.org/officeDocument/2006/relationships/hyperlink" Target="https://eamis.gov.al/mofe/" TargetMode="External"/><Relationship Id="rId19"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chart" Target="charts/chart4.xml"/><Relationship Id="rId22" Type="http://schemas.openxmlformats.org/officeDocument/2006/relationships/footer" Target="footer1.xml"/><Relationship Id="rId27" Type="http://schemas.openxmlformats.org/officeDocument/2006/relationships/image" Target="media/image10.emf"/><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qbz.gov.al/Botime/Akteindividuale/Janar%202018/Fletore%2079/LIGJ%20nr.%2025-2018,%20date%2010.5.2018.pdf" TargetMode="External"/><Relationship Id="rId13" Type="http://schemas.openxmlformats.org/officeDocument/2006/relationships/hyperlink" Target="http://www.financa.gov.al/raporti-i-mes-vitit-mbi-zbatimin-e-buxhetit-2018/" TargetMode="External"/><Relationship Id="rId3" Type="http://schemas.openxmlformats.org/officeDocument/2006/relationships/hyperlink" Target="https://financa.gov.al/wp-content/uploads/2018/07/Raporti_Vjetor_i_KBFP_2017.pdf" TargetMode="External"/><Relationship Id="rId7" Type="http://schemas.openxmlformats.org/officeDocument/2006/relationships/hyperlink" Target="https://www.financa.gov.al/wp-content/uploads/2018/06/Udhezimi_nr.8_date_09.03.2018_Per_Procedurat_e_Pergatitjes_Paraqitjes_dhe_Raportimit_te_Pasqyrave_Financiare_Vjetore_te_NJQP.pdf" TargetMode="External"/><Relationship Id="rId12" Type="http://schemas.openxmlformats.org/officeDocument/2006/relationships/hyperlink" Target="http://www.financatvendore.al/pub/raporte" TargetMode="External"/><Relationship Id="rId17" Type="http://schemas.openxmlformats.org/officeDocument/2006/relationships/hyperlink" Target="http://www.klsh.org.al/web/pzhp_2018_18_01_2018_punuar_finale_1_4555.pdf" TargetMode="External"/><Relationship Id="rId2" Type="http://schemas.openxmlformats.org/officeDocument/2006/relationships/hyperlink" Target="http://www.app.gov.al/GetData/DownloadDoc?documentId=44e86d14-e887-410d-bbc4-40749a49b77e" TargetMode="External"/><Relationship Id="rId16" Type="http://schemas.openxmlformats.org/officeDocument/2006/relationships/hyperlink" Target="http://www.financatvendore.al/pub/raporte" TargetMode="External"/><Relationship Id="rId1" Type="http://schemas.openxmlformats.org/officeDocument/2006/relationships/hyperlink" Target="https://www.tatime.gov.al/c/8/42/49/strategjia-dhe-raporte" TargetMode="External"/><Relationship Id="rId6" Type="http://schemas.openxmlformats.org/officeDocument/2006/relationships/hyperlink" Target="http://www.klsh.org.al/web/Analiza_Vjetore_2017_3447_1.php" TargetMode="External"/><Relationship Id="rId11" Type="http://schemas.openxmlformats.org/officeDocument/2006/relationships/hyperlink" Target="https://financa.gov.al/wp-content/uploads/2018/08/Udhezimi-standart-i-monitorimit-te-buxhetit-vendor.pdf" TargetMode="External"/><Relationship Id="rId5" Type="http://schemas.openxmlformats.org/officeDocument/2006/relationships/hyperlink" Target="http://www.klsh.org.al/web/001_buletini_nr_4_2018_4763_4767.pdf" TargetMode="External"/><Relationship Id="rId15" Type="http://schemas.openxmlformats.org/officeDocument/2006/relationships/hyperlink" Target="http://boost.financa.gov.al/" TargetMode="External"/><Relationship Id="rId10" Type="http://schemas.openxmlformats.org/officeDocument/2006/relationships/hyperlink" Target="https://financa.gov.al/wp-content/uploads/2018/08/Udhezimi-standart-i-PBA-vendorit.pdf" TargetMode="External"/><Relationship Id="rId4" Type="http://schemas.openxmlformats.org/officeDocument/2006/relationships/hyperlink" Target="http://www.klsh.org.al/web/Raporti_Vjetor_i_Performances_KLSH_2017_3452_1.php" TargetMode="External"/><Relationship Id="rId9" Type="http://schemas.openxmlformats.org/officeDocument/2006/relationships/hyperlink" Target="https://financa.gov.al/wp-content/uploads/2018/12/Udhezimi-Per-Procedurat-e-Mbylljes-se-Llogarive-Vjetore-te-Buxhetit-per-Vitin-2018.pdf" TargetMode="External"/><Relationship Id="rId14" Type="http://schemas.openxmlformats.org/officeDocument/2006/relationships/hyperlink" Target="https://financa.gov.al/raporte-monitorimi-nga-ministrite-e-linjes-2018/"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blerina.gjaci\Desktop\2019monitoring%20raport\18.03.19%20PFM%20Annexes%202018.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C:\Users\blerina.gjaci\Desktop\2019monitoring%20raport\18.03.19%20PFM%20Annexes%202018.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C:\Users\nefrida.cocka\Desktop\PFM%20monitoring%20report%202018\raporti%20draft\20.03.19%20PFM%20Annexes%202018.xlsx"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C:\Users\blerina.gjaci\Desktop\2019monitoring%20raport\18.03.19%20PFM%20Annexes%202018.xlsx"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file:///C:\Users\blerina.gjaci\Desktop\2019monitoring%20raport\18.03.19%20PFM%20Annexes%202018.xlsx"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file:///C:\Users\blerina.gjaci\Desktop\2019monitoring%20raport\18.03.19%20PFM%20Annexes%202018.xlsx" TargetMode="External"/><Relationship Id="rId1" Type="http://schemas.openxmlformats.org/officeDocument/2006/relationships/themeOverride" Target="../theme/themeOverride7.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doughnutChart>
        <c:varyColors val="1"/>
        <c:ser>
          <c:idx val="0"/>
          <c:order val="0"/>
          <c:explosion val="25"/>
          <c:dLbls>
            <c:dLbl>
              <c:idx val="0"/>
              <c:layout>
                <c:manualLayout>
                  <c:x val="0.15257048092868988"/>
                  <c:y val="-9.7222222222222224E-2"/>
                </c:manualLayout>
              </c:layout>
              <c:tx>
                <c:rich>
                  <a:bodyPr/>
                  <a:lstStyle/>
                  <a:p>
                    <a:r>
                      <a:rPr lang="en-US"/>
                      <a:t>përfunduar
29%</a:t>
                    </a:r>
                  </a:p>
                </c:rich>
              </c:tx>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0-5315-4929-9117-A806BD9C4FB2}"/>
                </c:ext>
                <c:ext xmlns:c15="http://schemas.microsoft.com/office/drawing/2012/chart" uri="{CE6537A1-D6FC-4f65-9D91-7224C49458BB}"/>
              </c:extLst>
            </c:dLbl>
            <c:dLbl>
              <c:idx val="1"/>
              <c:delete val="1"/>
              <c:extLst xmlns:c16r2="http://schemas.microsoft.com/office/drawing/2015/06/chart">
                <c:ext xmlns:c16="http://schemas.microsoft.com/office/drawing/2014/chart" uri="{C3380CC4-5D6E-409C-BE32-E72D297353CC}">
                  <c16:uniqueId val="{00000001-5315-4929-9117-A806BD9C4FB2}"/>
                </c:ext>
                <c:ext xmlns:c15="http://schemas.microsoft.com/office/drawing/2012/chart" uri="{CE6537A1-D6FC-4f65-9D91-7224C49458BB}"/>
              </c:extLst>
            </c:dLbl>
            <c:dLbl>
              <c:idx val="2"/>
              <c:delete val="1"/>
              <c:extLst xmlns:c16r2="http://schemas.microsoft.com/office/drawing/2015/06/chart">
                <c:ext xmlns:c16="http://schemas.microsoft.com/office/drawing/2014/chart" uri="{C3380CC4-5D6E-409C-BE32-E72D297353CC}">
                  <c16:uniqueId val="{00000002-5315-4929-9117-A806BD9C4FB2}"/>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3-5315-4929-9117-A806BD9C4FB2}"/>
                </c:ext>
                <c:ext xmlns:c15="http://schemas.microsoft.com/office/drawing/2012/chart" uri="{CE6537A1-D6FC-4f65-9D91-7224C49458BB}"/>
              </c:extLst>
            </c:dLbl>
            <c:dLbl>
              <c:idx val="4"/>
              <c:tx>
                <c:rich>
                  <a:bodyPr/>
                  <a:lstStyle/>
                  <a:p>
                    <a:r>
                      <a:rPr lang="en-US"/>
                      <a:t>në proces
69%</a:t>
                    </a:r>
                  </a:p>
                </c:rich>
              </c:tx>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0-E56A-4694-8769-3AFDB3CF84D6}"/>
                </c:ext>
                <c:ext xmlns:c15="http://schemas.microsoft.com/office/drawing/2012/chart" uri="{CE6537A1-D6FC-4f65-9D91-7224C49458BB}"/>
              </c:extLst>
            </c:dLbl>
            <c:dLbl>
              <c:idx val="5"/>
              <c:tx>
                <c:rich>
                  <a:bodyPr/>
                  <a:lstStyle/>
                  <a:p>
                    <a:r>
                      <a:rPr lang="en-US"/>
                      <a:t>nuk ka nisur
2%</a:t>
                    </a:r>
                  </a:p>
                </c:rich>
              </c:tx>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1-E56A-4694-8769-3AFDB3CF84D6}"/>
                </c:ext>
                <c:ext xmlns:c15="http://schemas.microsoft.com/office/drawing/2012/chart" uri="{CE6537A1-D6FC-4f65-9D91-7224C49458BB}"/>
              </c:extLst>
            </c:dLbl>
            <c:spPr>
              <a:noFill/>
              <a:ln>
                <a:noFill/>
              </a:ln>
              <a:effectLst/>
            </c:spPr>
            <c:txPr>
              <a:bodyPr/>
              <a:lstStyle/>
              <a:p>
                <a:pPr>
                  <a:defRPr b="1"/>
                </a:pPr>
                <a:endParaRPr lang="en-US"/>
              </a:p>
            </c:txPr>
            <c:showLegendKey val="0"/>
            <c:showVal val="0"/>
            <c:showCatName val="1"/>
            <c:showSerName val="0"/>
            <c:showPercent val="1"/>
            <c:showBubbleSize val="0"/>
            <c:showLeaderLines val="1"/>
            <c:extLst xmlns:c16r2="http://schemas.microsoft.com/office/drawing/2015/06/chart">
              <c:ext xmlns:c15="http://schemas.microsoft.com/office/drawing/2012/chart" uri="{CE6537A1-D6FC-4f65-9D91-7224C49458BB}"/>
            </c:extLst>
          </c:dLbls>
          <c:cat>
            <c:strRef>
              <c:f>'Annex 1 in report'!$M$100:$M$105</c:f>
              <c:strCache>
                <c:ptCount val="6"/>
                <c:pt idx="0">
                  <c:v>completed</c:v>
                </c:pt>
                <c:pt idx="4">
                  <c:v>in progres</c:v>
                </c:pt>
                <c:pt idx="5">
                  <c:v>not started</c:v>
                </c:pt>
              </c:strCache>
            </c:strRef>
          </c:cat>
          <c:val>
            <c:numRef>
              <c:f>'Annex 1 in report'!$N$100:$N$105</c:f>
              <c:numCache>
                <c:formatCode>General</c:formatCode>
                <c:ptCount val="6"/>
                <c:pt idx="0">
                  <c:v>18</c:v>
                </c:pt>
                <c:pt idx="4">
                  <c:v>43</c:v>
                </c:pt>
                <c:pt idx="5">
                  <c:v>1</c:v>
                </c:pt>
              </c:numCache>
            </c:numRef>
          </c:val>
          <c:extLst xmlns:c16r2="http://schemas.microsoft.com/office/drawing/2015/06/chart">
            <c:ext xmlns:c16="http://schemas.microsoft.com/office/drawing/2014/chart" uri="{C3380CC4-5D6E-409C-BE32-E72D297353CC}">
              <c16:uniqueId val="{00000004-5315-4929-9117-A806BD9C4FB2}"/>
            </c:ext>
          </c:extLst>
        </c:ser>
        <c:dLbls>
          <c:showLegendKey val="0"/>
          <c:showVal val="0"/>
          <c:showCatName val="1"/>
          <c:showSerName val="0"/>
          <c:showPercent val="1"/>
          <c:showBubbleSize val="0"/>
          <c:showLeaderLines val="1"/>
        </c:dLbls>
        <c:firstSliceAng val="0"/>
        <c:holeSize val="50"/>
      </c:doughnutChart>
    </c:plotArea>
    <c:plotVisOnly val="1"/>
    <c:dispBlanksAs val="zero"/>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doughnutChart>
        <c:varyColors val="1"/>
        <c:ser>
          <c:idx val="0"/>
          <c:order val="0"/>
          <c:explosion val="25"/>
          <c:dLbls>
            <c:dLbl>
              <c:idx val="0"/>
              <c:layout>
                <c:manualLayout>
                  <c:x val="0.13861386138613871"/>
                  <c:y val="3.5874439461883491E-2"/>
                </c:manualLayout>
              </c:layout>
              <c:tx>
                <c:rich>
                  <a:bodyPr/>
                  <a:lstStyle/>
                  <a:p>
                    <a:r>
                      <a:rPr lang="en-US"/>
                      <a:t>të plotësuara
20%</a:t>
                    </a:r>
                  </a:p>
                </c:rich>
              </c:tx>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0-1BA4-4C70-A081-9DA95BFA6927}"/>
                </c:ext>
                <c:ext xmlns:c15="http://schemas.microsoft.com/office/drawing/2012/chart" uri="{CE6537A1-D6FC-4f65-9D91-7224C49458BB}"/>
              </c:extLst>
            </c:dLbl>
            <c:dLbl>
              <c:idx val="1"/>
              <c:layout>
                <c:manualLayout>
                  <c:x val="-9.5709570957095744E-2"/>
                  <c:y val="0.21524663677130079"/>
                </c:manualLayout>
              </c:layout>
              <c:tx>
                <c:rich>
                  <a:bodyPr/>
                  <a:lstStyle/>
                  <a:p>
                    <a:r>
                      <a:rPr lang="en-US"/>
                      <a:t>në proces
80%</a:t>
                    </a:r>
                  </a:p>
                </c:rich>
              </c:tx>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1-1BA4-4C70-A081-9DA95BFA6927}"/>
                </c:ext>
                <c:ext xmlns:c15="http://schemas.microsoft.com/office/drawing/2012/chart" uri="{CE6537A1-D6FC-4f65-9D91-7224C49458BB}"/>
              </c:extLst>
            </c:dLbl>
            <c:dLbl>
              <c:idx val="2"/>
              <c:layout>
                <c:manualLayout>
                  <c:x val="-6.6006600660066033E-3"/>
                  <c:y val="-5.979073243647242E-2"/>
                </c:manualLayout>
              </c:layout>
              <c:tx>
                <c:rich>
                  <a:bodyPr/>
                  <a:lstStyle/>
                  <a:p>
                    <a:r>
                      <a:rPr lang="en-US"/>
                      <a:t>nuk kanë filluar
0%</a:t>
                    </a:r>
                  </a:p>
                </c:rich>
              </c:tx>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2-1BA4-4C70-A081-9DA95BFA6927}"/>
                </c:ext>
                <c:ext xmlns:c15="http://schemas.microsoft.com/office/drawing/2012/chart" uri="{CE6537A1-D6FC-4f65-9D91-7224C49458BB}"/>
              </c:extLst>
            </c:dLbl>
            <c:spPr>
              <a:noFill/>
              <a:ln>
                <a:noFill/>
              </a:ln>
              <a:effectLst/>
            </c:spPr>
            <c:txPr>
              <a:bodyPr/>
              <a:lstStyle/>
              <a:p>
                <a:pPr>
                  <a:defRPr b="1"/>
                </a:pPr>
                <a:endParaRPr lang="en-US"/>
              </a:p>
            </c:txPr>
            <c:showLegendKey val="0"/>
            <c:showVal val="0"/>
            <c:showCatName val="1"/>
            <c:showSerName val="0"/>
            <c:showPercent val="1"/>
            <c:showBubbleSize val="0"/>
            <c:showLeaderLines val="0"/>
            <c:extLst xmlns:c16r2="http://schemas.microsoft.com/office/drawing/2015/06/chart">
              <c:ext xmlns:c15="http://schemas.microsoft.com/office/drawing/2012/chart" uri="{CE6537A1-D6FC-4f65-9D91-7224C49458BB}"/>
            </c:extLst>
          </c:dLbls>
          <c:cat>
            <c:strRef>
              <c:f>'Annex 1 in report'!$M$118:$M$120</c:f>
              <c:strCache>
                <c:ptCount val="3"/>
                <c:pt idx="0">
                  <c:v>completed</c:v>
                </c:pt>
                <c:pt idx="1">
                  <c:v>in progres</c:v>
                </c:pt>
                <c:pt idx="2">
                  <c:v>not started</c:v>
                </c:pt>
              </c:strCache>
            </c:strRef>
          </c:cat>
          <c:val>
            <c:numRef>
              <c:f>'Annex 1 in report'!$N$118:$N$120</c:f>
              <c:numCache>
                <c:formatCode>General</c:formatCode>
                <c:ptCount val="3"/>
                <c:pt idx="0">
                  <c:v>1</c:v>
                </c:pt>
                <c:pt idx="1">
                  <c:v>4</c:v>
                </c:pt>
                <c:pt idx="2">
                  <c:v>0</c:v>
                </c:pt>
              </c:numCache>
            </c:numRef>
          </c:val>
          <c:extLst xmlns:c16r2="http://schemas.microsoft.com/office/drawing/2015/06/chart">
            <c:ext xmlns:c16="http://schemas.microsoft.com/office/drawing/2014/chart" uri="{C3380CC4-5D6E-409C-BE32-E72D297353CC}">
              <c16:uniqueId val="{00000003-1BA4-4C70-A081-9DA95BFA6927}"/>
            </c:ext>
          </c:extLst>
        </c:ser>
        <c:dLbls>
          <c:showLegendKey val="0"/>
          <c:showVal val="0"/>
          <c:showCatName val="1"/>
          <c:showSerName val="0"/>
          <c:showPercent val="1"/>
          <c:showBubbleSize val="0"/>
          <c:showLeaderLines val="0"/>
        </c:dLbls>
        <c:firstSliceAng val="0"/>
        <c:holeSize val="50"/>
      </c:doughnutChart>
    </c:plotArea>
    <c:plotVisOnly val="1"/>
    <c:dispBlanksAs val="zero"/>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doughnutChart>
        <c:varyColors val="1"/>
        <c:ser>
          <c:idx val="0"/>
          <c:order val="0"/>
          <c:explosion val="25"/>
          <c:dLbls>
            <c:dLbl>
              <c:idx val="0"/>
              <c:layout>
                <c:manualLayout>
                  <c:x val="0.16388888888888889"/>
                  <c:y val="-2.7777777777777853E-2"/>
                </c:manualLayout>
              </c:layout>
              <c:tx>
                <c:rich>
                  <a:bodyPr/>
                  <a:lstStyle/>
                  <a:p>
                    <a:r>
                      <a:rPr lang="en-US"/>
                      <a:t>përfunduar
20%</a:t>
                    </a:r>
                  </a:p>
                </c:rich>
              </c:tx>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0-E0AA-4A10-B0F9-60C0FC8026E0}"/>
                </c:ext>
                <c:ext xmlns:c15="http://schemas.microsoft.com/office/drawing/2012/chart" uri="{CE6537A1-D6FC-4f65-9D91-7224C49458BB}"/>
              </c:extLst>
            </c:dLbl>
            <c:dLbl>
              <c:idx val="1"/>
              <c:layout>
                <c:manualLayout>
                  <c:x val="-0.17222222222222233"/>
                  <c:y val="4.6296296296296337E-3"/>
                </c:manualLayout>
              </c:layout>
              <c:tx>
                <c:rich>
                  <a:bodyPr/>
                  <a:lstStyle/>
                  <a:p>
                    <a:r>
                      <a:rPr lang="en-US"/>
                      <a:t>në proces
80%</a:t>
                    </a:r>
                  </a:p>
                </c:rich>
              </c:tx>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1-E0AA-4A10-B0F9-60C0FC8026E0}"/>
                </c:ext>
                <c:ext xmlns:c15="http://schemas.microsoft.com/office/drawing/2012/chart" uri="{CE6537A1-D6FC-4f65-9D91-7224C49458BB}"/>
              </c:extLst>
            </c:dLbl>
            <c:dLbl>
              <c:idx val="2"/>
              <c:layout>
                <c:manualLayout>
                  <c:x val="-7.5000000000000011E-2"/>
                  <c:y val="-4.6296296296296349E-2"/>
                </c:manualLayout>
              </c:layout>
              <c:tx>
                <c:rich>
                  <a:bodyPr/>
                  <a:lstStyle/>
                  <a:p>
                    <a:r>
                      <a:rPr lang="en-US"/>
                      <a:t>nuk kanë filluar </a:t>
                    </a:r>
                  </a:p>
                  <a:p>
                    <a:r>
                      <a:rPr lang="en-US"/>
                      <a:t>0</a:t>
                    </a:r>
                    <a:r>
                      <a:rPr lang="en-US" baseline="0"/>
                      <a:t> </a:t>
                    </a:r>
                    <a:r>
                      <a:rPr lang="en-US"/>
                      <a:t>%</a:t>
                    </a:r>
                  </a:p>
                </c:rich>
              </c:tx>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2-E0AA-4A10-B0F9-60C0FC8026E0}"/>
                </c:ext>
                <c:ext xmlns:c15="http://schemas.microsoft.com/office/drawing/2012/chart" uri="{CE6537A1-D6FC-4f65-9D91-7224C49458BB}"/>
              </c:extLst>
            </c:dLbl>
            <c:spPr>
              <a:noFill/>
              <a:ln>
                <a:noFill/>
              </a:ln>
              <a:effectLst/>
            </c:spPr>
            <c:txPr>
              <a:bodyPr/>
              <a:lstStyle/>
              <a:p>
                <a:pPr>
                  <a:defRPr b="1"/>
                </a:pPr>
                <a:endParaRPr lang="en-US"/>
              </a:p>
            </c:txPr>
            <c:showLegendKey val="0"/>
            <c:showVal val="0"/>
            <c:showCatName val="1"/>
            <c:showSerName val="0"/>
            <c:showPercent val="1"/>
            <c:showBubbleSize val="0"/>
            <c:showLeaderLines val="1"/>
            <c:extLst xmlns:c16r2="http://schemas.microsoft.com/office/drawing/2015/06/chart">
              <c:ext xmlns:c15="http://schemas.microsoft.com/office/drawing/2012/chart" uri="{CE6537A1-D6FC-4f65-9D91-7224C49458BB}"/>
            </c:extLst>
          </c:dLbls>
          <c:cat>
            <c:strRef>
              <c:f>'Annex 1 in report'!$M$129:$M$131</c:f>
              <c:strCache>
                <c:ptCount val="3"/>
                <c:pt idx="0">
                  <c:v>completed</c:v>
                </c:pt>
                <c:pt idx="1">
                  <c:v>in progres</c:v>
                </c:pt>
                <c:pt idx="2">
                  <c:v>not started</c:v>
                </c:pt>
              </c:strCache>
            </c:strRef>
          </c:cat>
          <c:val>
            <c:numRef>
              <c:f>'Annex 1 in report'!$N$129:$N$131</c:f>
              <c:numCache>
                <c:formatCode>General</c:formatCode>
                <c:ptCount val="3"/>
                <c:pt idx="0">
                  <c:v>3</c:v>
                </c:pt>
                <c:pt idx="1">
                  <c:v>12</c:v>
                </c:pt>
                <c:pt idx="2">
                  <c:v>0</c:v>
                </c:pt>
              </c:numCache>
            </c:numRef>
          </c:val>
          <c:extLst xmlns:c16r2="http://schemas.microsoft.com/office/drawing/2015/06/chart">
            <c:ext xmlns:c16="http://schemas.microsoft.com/office/drawing/2014/chart" uri="{C3380CC4-5D6E-409C-BE32-E72D297353CC}">
              <c16:uniqueId val="{00000003-E0AA-4A10-B0F9-60C0FC8026E0}"/>
            </c:ext>
          </c:extLst>
        </c:ser>
        <c:dLbls>
          <c:showLegendKey val="0"/>
          <c:showVal val="0"/>
          <c:showCatName val="1"/>
          <c:showSerName val="0"/>
          <c:showPercent val="1"/>
          <c:showBubbleSize val="0"/>
          <c:showLeaderLines val="1"/>
        </c:dLbls>
        <c:firstSliceAng val="0"/>
        <c:holeSize val="50"/>
      </c:doughnutChart>
    </c:plotArea>
    <c:plotVisOnly val="1"/>
    <c:dispBlanksAs val="zero"/>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doughnutChart>
        <c:varyColors val="1"/>
        <c:ser>
          <c:idx val="0"/>
          <c:order val="0"/>
          <c:explosion val="25"/>
          <c:dLbls>
            <c:dLbl>
              <c:idx val="0"/>
              <c:layout>
                <c:manualLayout>
                  <c:x val="0.14184397163120571"/>
                  <c:y val="-6.3492063492063516E-2"/>
                </c:manualLayout>
              </c:layout>
              <c:tx>
                <c:rich>
                  <a:bodyPr/>
                  <a:lstStyle/>
                  <a:p>
                    <a:r>
                      <a:rPr lang="en-US"/>
                      <a:t>plot</a:t>
                    </a:r>
                    <a:r>
                      <a:rPr lang="en-US" sz="1000" b="1" i="0" u="none" strike="noStrike" kern="1200" baseline="0">
                        <a:solidFill>
                          <a:sysClr val="windowText" lastClr="000000"/>
                        </a:solidFill>
                        <a:latin typeface="+mn-lt"/>
                        <a:ea typeface="+mn-ea"/>
                        <a:cs typeface="+mn-cs"/>
                      </a:rPr>
                      <a:t>ë</a:t>
                    </a:r>
                    <a:r>
                      <a:rPr lang="en-US"/>
                      <a:t>suar
25%</a:t>
                    </a:r>
                  </a:p>
                </c:rich>
              </c:tx>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0-2037-4A22-949C-CFE81D9A269C}"/>
                </c:ext>
                <c:ext xmlns:c15="http://schemas.microsoft.com/office/drawing/2012/chart" uri="{CE6537A1-D6FC-4f65-9D91-7224C49458BB}"/>
              </c:extLst>
            </c:dLbl>
            <c:dLbl>
              <c:idx val="1"/>
              <c:layout>
                <c:manualLayout>
                  <c:x val="-0.13553979511426334"/>
                  <c:y val="7.6190476190476197E-2"/>
                </c:manualLayout>
              </c:layout>
              <c:tx>
                <c:rich>
                  <a:bodyPr/>
                  <a:lstStyle/>
                  <a:p>
                    <a:r>
                      <a:rPr lang="en-US"/>
                      <a:t>n</a:t>
                    </a:r>
                    <a:r>
                      <a:rPr lang="en-US" sz="1000" b="1" i="0" u="none" strike="noStrike" kern="1200" baseline="0">
                        <a:solidFill>
                          <a:sysClr val="windowText" lastClr="000000"/>
                        </a:solidFill>
                        <a:latin typeface="+mn-lt"/>
                        <a:ea typeface="+mn-ea"/>
                        <a:cs typeface="+mn-cs"/>
                      </a:rPr>
                      <a:t>ë</a:t>
                    </a:r>
                    <a:r>
                      <a:rPr lang="en-US"/>
                      <a:t> proces
75%</a:t>
                    </a:r>
                  </a:p>
                </c:rich>
              </c:tx>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1-2037-4A22-949C-CFE81D9A269C}"/>
                </c:ext>
                <c:ext xmlns:c15="http://schemas.microsoft.com/office/drawing/2012/chart" uri="{CE6537A1-D6FC-4f65-9D91-7224C49458BB}"/>
              </c:extLst>
            </c:dLbl>
            <c:dLbl>
              <c:idx val="2"/>
              <c:layout>
                <c:manualLayout>
                  <c:x val="-0.10401891252955081"/>
                  <c:y val="-6.3492063492063502E-2"/>
                </c:manualLayout>
              </c:layout>
              <c:tx>
                <c:rich>
                  <a:bodyPr/>
                  <a:lstStyle/>
                  <a:p>
                    <a:r>
                      <a:rPr lang="en-US"/>
                      <a:t>nuk ka filluar
0%</a:t>
                    </a:r>
                  </a:p>
                </c:rich>
              </c:tx>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2-2037-4A22-949C-CFE81D9A269C}"/>
                </c:ext>
                <c:ext xmlns:c15="http://schemas.microsoft.com/office/drawing/2012/chart" uri="{CE6537A1-D6FC-4f65-9D91-7224C49458BB}"/>
              </c:extLst>
            </c:dLbl>
            <c:spPr>
              <a:noFill/>
              <a:ln>
                <a:noFill/>
              </a:ln>
              <a:effectLst/>
            </c:spPr>
            <c:txPr>
              <a:bodyPr/>
              <a:lstStyle/>
              <a:p>
                <a:pPr>
                  <a:defRPr b="1"/>
                </a:pPr>
                <a:endParaRPr lang="en-US"/>
              </a:p>
            </c:txPr>
            <c:showLegendKey val="0"/>
            <c:showVal val="0"/>
            <c:showCatName val="1"/>
            <c:showSerName val="0"/>
            <c:showPercent val="1"/>
            <c:showBubbleSize val="0"/>
            <c:showLeaderLines val="1"/>
            <c:extLst xmlns:c16r2="http://schemas.microsoft.com/office/drawing/2015/06/chart">
              <c:ext xmlns:c15="http://schemas.microsoft.com/office/drawing/2012/chart" uri="{CE6537A1-D6FC-4f65-9D91-7224C49458BB}"/>
            </c:extLst>
          </c:dLbls>
          <c:cat>
            <c:strRef>
              <c:f>'Annex 1 in report'!$M$142:$M$144</c:f>
              <c:strCache>
                <c:ptCount val="3"/>
                <c:pt idx="0">
                  <c:v>completed</c:v>
                </c:pt>
                <c:pt idx="1">
                  <c:v>in progres</c:v>
                </c:pt>
                <c:pt idx="2">
                  <c:v>not started</c:v>
                </c:pt>
              </c:strCache>
            </c:strRef>
          </c:cat>
          <c:val>
            <c:numRef>
              <c:f>'Annex 1 in report'!$N$142:$N$144</c:f>
              <c:numCache>
                <c:formatCode>General</c:formatCode>
                <c:ptCount val="3"/>
                <c:pt idx="0">
                  <c:v>6</c:v>
                </c:pt>
                <c:pt idx="1">
                  <c:v>18</c:v>
                </c:pt>
                <c:pt idx="2">
                  <c:v>0</c:v>
                </c:pt>
              </c:numCache>
            </c:numRef>
          </c:val>
          <c:extLst xmlns:c16r2="http://schemas.microsoft.com/office/drawing/2015/06/chart">
            <c:ext xmlns:c16="http://schemas.microsoft.com/office/drawing/2014/chart" uri="{C3380CC4-5D6E-409C-BE32-E72D297353CC}">
              <c16:uniqueId val="{00000003-2037-4A22-949C-CFE81D9A269C}"/>
            </c:ext>
          </c:extLst>
        </c:ser>
        <c:dLbls>
          <c:showLegendKey val="0"/>
          <c:showVal val="0"/>
          <c:showCatName val="1"/>
          <c:showSerName val="0"/>
          <c:showPercent val="1"/>
          <c:showBubbleSize val="0"/>
          <c:showLeaderLines val="1"/>
        </c:dLbls>
        <c:firstSliceAng val="0"/>
        <c:holeSize val="50"/>
      </c:doughnutChart>
    </c:plotArea>
    <c:plotVisOnly val="1"/>
    <c:dispBlanksAs val="zero"/>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doughnutChart>
        <c:varyColors val="1"/>
        <c:ser>
          <c:idx val="0"/>
          <c:order val="0"/>
          <c:explosion val="25"/>
          <c:dLbls>
            <c:dLbl>
              <c:idx val="0"/>
              <c:layout>
                <c:manualLayout>
                  <c:x val="9.7222222222222224E-2"/>
                  <c:y val="-3.7037037037037056E-2"/>
                </c:manualLayout>
              </c:layout>
              <c:tx>
                <c:rich>
                  <a:bodyPr/>
                  <a:lstStyle/>
                  <a:p>
                    <a:r>
                      <a:rPr lang="en-US"/>
                      <a:t>t</a:t>
                    </a:r>
                    <a:r>
                      <a:rPr lang="en-US" sz="1000" b="1" i="0" u="none" strike="noStrike" kern="1200" baseline="0">
                        <a:solidFill>
                          <a:sysClr val="windowText" lastClr="000000"/>
                        </a:solidFill>
                        <a:latin typeface="+mn-lt"/>
                        <a:ea typeface="+mn-ea"/>
                        <a:cs typeface="+mn-cs"/>
                      </a:rPr>
                      <a:t>ë</a:t>
                    </a:r>
                    <a:r>
                      <a:rPr lang="en-US"/>
                      <a:t> plot</a:t>
                    </a:r>
                    <a:r>
                      <a:rPr lang="en-US" sz="1000" b="1" i="0" u="none" strike="noStrike" kern="1200" baseline="0">
                        <a:solidFill>
                          <a:sysClr val="windowText" lastClr="000000"/>
                        </a:solidFill>
                        <a:latin typeface="+mn-lt"/>
                        <a:ea typeface="+mn-ea"/>
                        <a:cs typeface="+mn-cs"/>
                      </a:rPr>
                      <a:t>ë</a:t>
                    </a:r>
                    <a:r>
                      <a:rPr lang="en-US"/>
                      <a:t>suar
0%</a:t>
                    </a:r>
                  </a:p>
                </c:rich>
              </c:tx>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0-8AB2-4D37-8DDF-3D61053D85E0}"/>
                </c:ext>
                <c:ext xmlns:c15="http://schemas.microsoft.com/office/drawing/2012/chart" uri="{CE6537A1-D6FC-4f65-9D91-7224C49458BB}"/>
              </c:extLst>
            </c:dLbl>
            <c:dLbl>
              <c:idx val="1"/>
              <c:layout>
                <c:manualLayout>
                  <c:x val="0.15833333333333352"/>
                  <c:y val="7.8703703703703734E-2"/>
                </c:manualLayout>
              </c:layout>
              <c:tx>
                <c:rich>
                  <a:bodyPr/>
                  <a:lstStyle/>
                  <a:p>
                    <a:r>
                      <a:rPr lang="en-US"/>
                      <a:t>n</a:t>
                    </a:r>
                    <a:r>
                      <a:rPr lang="en-US" sz="1000" b="1" i="0" u="none" strike="noStrike" kern="1200" baseline="0">
                        <a:solidFill>
                          <a:sysClr val="windowText" lastClr="000000"/>
                        </a:solidFill>
                        <a:latin typeface="+mn-lt"/>
                        <a:ea typeface="+mn-ea"/>
                        <a:cs typeface="+mn-cs"/>
                      </a:rPr>
                      <a:t>ë</a:t>
                    </a:r>
                    <a:r>
                      <a:rPr lang="en-US" baseline="0"/>
                      <a:t> proces</a:t>
                    </a:r>
                    <a:r>
                      <a:rPr lang="en-US"/>
                      <a:t>
80%</a:t>
                    </a:r>
                  </a:p>
                </c:rich>
              </c:tx>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1-8AB2-4D37-8DDF-3D61053D85E0}"/>
                </c:ext>
                <c:ext xmlns:c15="http://schemas.microsoft.com/office/drawing/2012/chart" uri="{CE6537A1-D6FC-4f65-9D91-7224C49458BB}"/>
              </c:extLst>
            </c:dLbl>
            <c:dLbl>
              <c:idx val="2"/>
              <c:layout>
                <c:manualLayout>
                  <c:x val="-0.14722222222222234"/>
                  <c:y val="-5.5555555555555525E-2"/>
                </c:manualLayout>
              </c:layout>
              <c:tx>
                <c:rich>
                  <a:bodyPr/>
                  <a:lstStyle/>
                  <a:p>
                    <a:r>
                      <a:rPr lang="en-US"/>
                      <a:t>nuk kan</a:t>
                    </a:r>
                    <a:r>
                      <a:rPr lang="en-US" sz="1000" b="1" i="0" u="none" strike="noStrike" kern="1200" baseline="0">
                        <a:solidFill>
                          <a:sysClr val="windowText" lastClr="000000"/>
                        </a:solidFill>
                        <a:latin typeface="+mn-lt"/>
                        <a:ea typeface="+mn-ea"/>
                        <a:cs typeface="+mn-cs"/>
                      </a:rPr>
                      <a:t>ë</a:t>
                    </a:r>
                    <a:r>
                      <a:rPr lang="en-US"/>
                      <a:t> filluar
20%</a:t>
                    </a:r>
                  </a:p>
                </c:rich>
              </c:tx>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2-8AB2-4D37-8DDF-3D61053D85E0}"/>
                </c:ext>
                <c:ext xmlns:c15="http://schemas.microsoft.com/office/drawing/2012/chart" uri="{CE6537A1-D6FC-4f65-9D91-7224C49458BB}"/>
              </c:extLst>
            </c:dLbl>
            <c:spPr>
              <a:noFill/>
              <a:ln>
                <a:noFill/>
              </a:ln>
              <a:effectLst/>
            </c:spPr>
            <c:txPr>
              <a:bodyPr/>
              <a:lstStyle/>
              <a:p>
                <a:pPr>
                  <a:defRPr b="1"/>
                </a:pPr>
                <a:endParaRPr lang="en-US"/>
              </a:p>
            </c:txPr>
            <c:showLegendKey val="0"/>
            <c:showVal val="0"/>
            <c:showCatName val="1"/>
            <c:showSerName val="0"/>
            <c:showPercent val="1"/>
            <c:showBubbleSize val="0"/>
            <c:showLeaderLines val="1"/>
            <c:extLst xmlns:c16r2="http://schemas.microsoft.com/office/drawing/2015/06/chart">
              <c:ext xmlns:c15="http://schemas.microsoft.com/office/drawing/2012/chart" uri="{CE6537A1-D6FC-4f65-9D91-7224C49458BB}"/>
            </c:extLst>
          </c:dLbls>
          <c:cat>
            <c:strRef>
              <c:f>'Annex 1 in report'!$M$154:$M$156</c:f>
              <c:strCache>
                <c:ptCount val="3"/>
                <c:pt idx="0">
                  <c:v>completed</c:v>
                </c:pt>
                <c:pt idx="1">
                  <c:v>in progres</c:v>
                </c:pt>
                <c:pt idx="2">
                  <c:v>not started</c:v>
                </c:pt>
              </c:strCache>
            </c:strRef>
          </c:cat>
          <c:val>
            <c:numRef>
              <c:f>'Annex 1 in report'!$N$154:$N$156</c:f>
              <c:numCache>
                <c:formatCode>General</c:formatCode>
                <c:ptCount val="3"/>
                <c:pt idx="0">
                  <c:v>0</c:v>
                </c:pt>
                <c:pt idx="1">
                  <c:v>4</c:v>
                </c:pt>
                <c:pt idx="2">
                  <c:v>1</c:v>
                </c:pt>
              </c:numCache>
            </c:numRef>
          </c:val>
          <c:extLst xmlns:c16r2="http://schemas.microsoft.com/office/drawing/2015/06/chart">
            <c:ext xmlns:c16="http://schemas.microsoft.com/office/drawing/2014/chart" uri="{C3380CC4-5D6E-409C-BE32-E72D297353CC}">
              <c16:uniqueId val="{00000003-8AB2-4D37-8DDF-3D61053D85E0}"/>
            </c:ext>
          </c:extLst>
        </c:ser>
        <c:dLbls>
          <c:showLegendKey val="0"/>
          <c:showVal val="0"/>
          <c:showCatName val="1"/>
          <c:showSerName val="0"/>
          <c:showPercent val="1"/>
          <c:showBubbleSize val="0"/>
          <c:showLeaderLines val="1"/>
        </c:dLbls>
        <c:firstSliceAng val="0"/>
        <c:holeSize val="50"/>
      </c:doughnutChart>
    </c:plotArea>
    <c:plotVisOnly val="1"/>
    <c:dispBlanksAs val="zero"/>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7151543557055369"/>
          <c:y val="0.13267528161850581"/>
          <c:w val="0.46093769528808898"/>
          <c:h val="0.74102902208994215"/>
        </c:manualLayout>
      </c:layout>
      <c:doughnutChart>
        <c:varyColors val="1"/>
        <c:ser>
          <c:idx val="0"/>
          <c:order val="0"/>
          <c:explosion val="25"/>
          <c:dLbls>
            <c:dLbl>
              <c:idx val="0"/>
              <c:layout>
                <c:manualLayout>
                  <c:x val="0.14715754143066917"/>
                  <c:y val="-4.4444444444444432E-2"/>
                </c:manualLayout>
              </c:layout>
              <c:tx>
                <c:rich>
                  <a:bodyPr/>
                  <a:lstStyle/>
                  <a:p>
                    <a:r>
                      <a:rPr lang="en-US"/>
                      <a:t>plot</a:t>
                    </a:r>
                    <a:r>
                      <a:rPr lang="en-US" sz="1000" b="1" i="0" u="none" strike="noStrike" kern="1200" baseline="0">
                        <a:solidFill>
                          <a:sysClr val="windowText" lastClr="000000"/>
                        </a:solidFill>
                        <a:latin typeface="+mn-lt"/>
                        <a:ea typeface="+mn-ea"/>
                        <a:cs typeface="+mn-cs"/>
                      </a:rPr>
                      <a:t>ë</a:t>
                    </a:r>
                    <a:r>
                      <a:rPr lang="en-US"/>
                      <a:t>suar
62%</a:t>
                    </a:r>
                  </a:p>
                </c:rich>
              </c:tx>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0-4E13-494B-A8B6-D3AF92C0AFCC}"/>
                </c:ext>
                <c:ext xmlns:c15="http://schemas.microsoft.com/office/drawing/2012/chart" uri="{CE6537A1-D6FC-4f65-9D91-7224C49458BB}">
                  <c15:layout>
                    <c:manualLayout>
                      <c:w val="0.22638888888888889"/>
                      <c:h val="0.25272752389204939"/>
                    </c:manualLayout>
                  </c15:layout>
                </c:ext>
              </c:extLst>
            </c:dLbl>
            <c:dLbl>
              <c:idx val="1"/>
              <c:layout>
                <c:manualLayout>
                  <c:x val="-0.14977973568281941"/>
                  <c:y val="5.7142857142857141E-2"/>
                </c:manualLayout>
              </c:layout>
              <c:tx>
                <c:rich>
                  <a:bodyPr/>
                  <a:lstStyle/>
                  <a:p>
                    <a:r>
                      <a:rPr lang="en-US"/>
                      <a:t>n</a:t>
                    </a:r>
                    <a:r>
                      <a:rPr lang="en-US" sz="1000" b="1" i="0" u="none" strike="noStrike" kern="1200" baseline="0">
                        <a:solidFill>
                          <a:sysClr val="windowText" lastClr="000000"/>
                        </a:solidFill>
                        <a:latin typeface="+mn-lt"/>
                        <a:ea typeface="+mn-ea"/>
                        <a:cs typeface="+mn-cs"/>
                      </a:rPr>
                      <a:t>ë</a:t>
                    </a:r>
                    <a:r>
                      <a:rPr lang="en-US"/>
                      <a:t> proces
38%</a:t>
                    </a:r>
                  </a:p>
                </c:rich>
              </c:tx>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1-4E13-494B-A8B6-D3AF92C0AFCC}"/>
                </c:ext>
                <c:ext xmlns:c15="http://schemas.microsoft.com/office/drawing/2012/chart" uri="{CE6537A1-D6FC-4f65-9D91-7224C49458BB}"/>
              </c:extLst>
            </c:dLbl>
            <c:dLbl>
              <c:idx val="2"/>
              <c:layout>
                <c:manualLayout>
                  <c:x val="-1.5165023424935441E-2"/>
                  <c:y val="-6.9841269841269843E-2"/>
                </c:manualLayout>
              </c:layout>
              <c:tx>
                <c:rich>
                  <a:bodyPr/>
                  <a:lstStyle/>
                  <a:p>
                    <a:r>
                      <a:rPr lang="en-US"/>
                      <a:t>nuk kan</a:t>
                    </a:r>
                    <a:r>
                      <a:rPr lang="en-US" sz="1000" b="1" i="0" u="none" strike="noStrike" kern="1200" baseline="0">
                        <a:solidFill>
                          <a:sysClr val="windowText" lastClr="000000"/>
                        </a:solidFill>
                        <a:latin typeface="+mn-lt"/>
                        <a:ea typeface="+mn-ea"/>
                        <a:cs typeface="+mn-cs"/>
                      </a:rPr>
                      <a:t>ë</a:t>
                    </a:r>
                    <a:r>
                      <a:rPr lang="en-US"/>
                      <a:t> filluar
0%</a:t>
                    </a:r>
                  </a:p>
                </c:rich>
              </c:tx>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2-4E13-494B-A8B6-D3AF92C0AFCC}"/>
                </c:ext>
                <c:ext xmlns:c15="http://schemas.microsoft.com/office/drawing/2012/chart" uri="{CE6537A1-D6FC-4f65-9D91-7224C49458BB}">
                  <c15:layout>
                    <c:manualLayout>
                      <c:w val="0.2175"/>
                      <c:h val="0.25272752389204939"/>
                    </c:manualLayout>
                  </c15:layout>
                </c:ext>
              </c:extLst>
            </c:dLbl>
            <c:spPr>
              <a:noFill/>
              <a:ln>
                <a:noFill/>
              </a:ln>
              <a:effectLst/>
            </c:spPr>
            <c:txPr>
              <a:bodyPr/>
              <a:lstStyle/>
              <a:p>
                <a:pPr>
                  <a:defRPr b="1"/>
                </a:pPr>
                <a:endParaRPr lang="en-US"/>
              </a:p>
            </c:txPr>
            <c:showLegendKey val="0"/>
            <c:showVal val="0"/>
            <c:showCatName val="1"/>
            <c:showSerName val="0"/>
            <c:showPercent val="1"/>
            <c:showBubbleSize val="0"/>
            <c:showLeaderLines val="0"/>
            <c:extLst xmlns:c16r2="http://schemas.microsoft.com/office/drawing/2015/06/chart">
              <c:ext xmlns:c15="http://schemas.microsoft.com/office/drawing/2012/chart" uri="{CE6537A1-D6FC-4f65-9D91-7224C49458BB}"/>
            </c:extLst>
          </c:dLbls>
          <c:cat>
            <c:strRef>
              <c:f>'Annex 1 in report'!$M$167:$M$169</c:f>
              <c:strCache>
                <c:ptCount val="3"/>
                <c:pt idx="0">
                  <c:v>completed</c:v>
                </c:pt>
                <c:pt idx="1">
                  <c:v>in progres</c:v>
                </c:pt>
                <c:pt idx="2">
                  <c:v>not started</c:v>
                </c:pt>
              </c:strCache>
            </c:strRef>
          </c:cat>
          <c:val>
            <c:numRef>
              <c:f>'Annex 1 in report'!$N$167:$N$169</c:f>
              <c:numCache>
                <c:formatCode>General</c:formatCode>
                <c:ptCount val="3"/>
                <c:pt idx="0">
                  <c:v>5</c:v>
                </c:pt>
                <c:pt idx="1">
                  <c:v>3</c:v>
                </c:pt>
                <c:pt idx="2">
                  <c:v>0</c:v>
                </c:pt>
              </c:numCache>
            </c:numRef>
          </c:val>
          <c:extLst xmlns:c16r2="http://schemas.microsoft.com/office/drawing/2015/06/chart">
            <c:ext xmlns:c16="http://schemas.microsoft.com/office/drawing/2014/chart" uri="{C3380CC4-5D6E-409C-BE32-E72D297353CC}">
              <c16:uniqueId val="{00000003-4E13-494B-A8B6-D3AF92C0AFCC}"/>
            </c:ext>
          </c:extLst>
        </c:ser>
        <c:dLbls>
          <c:showLegendKey val="0"/>
          <c:showVal val="0"/>
          <c:showCatName val="1"/>
          <c:showSerName val="0"/>
          <c:showPercent val="1"/>
          <c:showBubbleSize val="0"/>
          <c:showLeaderLines val="0"/>
        </c:dLbls>
        <c:firstSliceAng val="0"/>
        <c:holeSize val="50"/>
      </c:doughnutChart>
    </c:plotArea>
    <c:plotVisOnly val="1"/>
    <c:dispBlanksAs val="zero"/>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doughnutChart>
        <c:varyColors val="1"/>
        <c:ser>
          <c:idx val="0"/>
          <c:order val="0"/>
          <c:explosion val="25"/>
          <c:dLbls>
            <c:dLbl>
              <c:idx val="0"/>
              <c:layout>
                <c:manualLayout>
                  <c:x val="0.12807376953986932"/>
                  <c:y val="-0.22209944751381219"/>
                </c:manualLayout>
              </c:layout>
              <c:tx>
                <c:rich>
                  <a:bodyPr/>
                  <a:lstStyle/>
                  <a:p>
                    <a:r>
                      <a:rPr lang="en-US"/>
                      <a:t>plotësuar</a:t>
                    </a:r>
                    <a:r>
                      <a:rPr lang="en-US" baseline="0"/>
                      <a:t>
</a:t>
                    </a:r>
                    <a:fld id="{10E7A3FE-CB40-4755-9BE9-4CAA853BE7C1}" type="PERCENTAGE">
                      <a:rPr lang="en-US" baseline="0"/>
                      <a:pPr/>
                      <a:t>[PERCENTAGE]</a:t>
                    </a:fld>
                    <a:endParaRPr lang="en-US" baseline="0"/>
                  </a:p>
                </c:rich>
              </c:tx>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0-326A-4CF1-8569-E6FBFF50C4D9}"/>
                </c:ext>
                <c:ext xmlns:c15="http://schemas.microsoft.com/office/drawing/2012/chart" uri="{CE6537A1-D6FC-4f65-9D91-7224C49458BB}">
                  <c15:dlblFieldTable/>
                  <c15:showDataLabelsRange val="0"/>
                </c:ext>
              </c:extLst>
            </c:dLbl>
            <c:dLbl>
              <c:idx val="1"/>
              <c:layout>
                <c:manualLayout>
                  <c:x val="-0.11422850904698861"/>
                  <c:y val="0.22293644233697293"/>
                </c:manualLayout>
              </c:layout>
              <c:tx>
                <c:rich>
                  <a:bodyPr/>
                  <a:lstStyle/>
                  <a:p>
                    <a:r>
                      <a:rPr lang="en-US"/>
                      <a:t>në proces</a:t>
                    </a:r>
                    <a:r>
                      <a:rPr lang="en-US" baseline="0"/>
                      <a:t>
</a:t>
                    </a:r>
                    <a:fld id="{6269AA18-8148-4A64-95AB-8A7A245AD8EA}" type="PERCENTAGE">
                      <a:rPr lang="en-US" baseline="0"/>
                      <a:pPr/>
                      <a:t>[PERCENTAGE]</a:t>
                    </a:fld>
                    <a:endParaRPr lang="en-US" baseline="0"/>
                  </a:p>
                </c:rich>
              </c:tx>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1-326A-4CF1-8569-E6FBFF50C4D9}"/>
                </c:ext>
                <c:ext xmlns:c15="http://schemas.microsoft.com/office/drawing/2012/chart" uri="{CE6537A1-D6FC-4f65-9D91-7224C49458BB}">
                  <c15:dlblFieldTable/>
                  <c15:showDataLabelsRange val="0"/>
                </c:ext>
              </c:extLst>
            </c:dLbl>
            <c:dLbl>
              <c:idx val="2"/>
              <c:layout>
                <c:manualLayout>
                  <c:x val="2.3221610573014657E-2"/>
                  <c:y val="-2.7456678412436014E-2"/>
                </c:manualLayout>
              </c:layout>
              <c:tx>
                <c:rich>
                  <a:bodyPr/>
                  <a:lstStyle/>
                  <a:p>
                    <a:r>
                      <a:rPr lang="en-US"/>
                      <a:t>nuk ka filluar</a:t>
                    </a:r>
                    <a:r>
                      <a:rPr lang="en-US" baseline="0"/>
                      <a:t>
</a:t>
                    </a:r>
                    <a:fld id="{7A933FCE-77E2-4B99-8214-9B322720B59C}" type="PERCENTAGE">
                      <a:rPr lang="en-US" baseline="0"/>
                      <a:pPr/>
                      <a:t>[PERCENTAGE]</a:t>
                    </a:fld>
                    <a:endParaRPr lang="en-US" baseline="0"/>
                  </a:p>
                </c:rich>
              </c:tx>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2-326A-4CF1-8569-E6FBFF50C4D9}"/>
                </c:ext>
                <c:ext xmlns:c15="http://schemas.microsoft.com/office/drawing/2012/chart" uri="{CE6537A1-D6FC-4f65-9D91-7224C49458BB}">
                  <c15:layout>
                    <c:manualLayout>
                      <c:w val="0.18973761023234928"/>
                      <c:h val="0.36809675033714717"/>
                    </c:manualLayout>
                  </c15:layout>
                  <c15:dlblFieldTable/>
                  <c15:showDataLabelsRange val="0"/>
                </c:ext>
              </c:extLst>
            </c:dLbl>
            <c:spPr>
              <a:noFill/>
              <a:ln>
                <a:noFill/>
              </a:ln>
              <a:effectLst/>
            </c:spPr>
            <c:txPr>
              <a:bodyPr/>
              <a:lstStyle/>
              <a:p>
                <a:pPr>
                  <a:defRPr b="1"/>
                </a:pPr>
                <a:endParaRPr lang="en-US"/>
              </a:p>
            </c:txPr>
            <c:showLegendKey val="0"/>
            <c:showVal val="0"/>
            <c:showCatName val="1"/>
            <c:showSerName val="0"/>
            <c:showPercent val="1"/>
            <c:showBubbleSize val="0"/>
            <c:showLeaderLines val="1"/>
            <c:extLst xmlns:c16r2="http://schemas.microsoft.com/office/drawing/2015/06/chart">
              <c:ext xmlns:c15="http://schemas.microsoft.com/office/drawing/2012/chart" uri="{CE6537A1-D6FC-4f65-9D91-7224C49458BB}"/>
            </c:extLst>
          </c:dLbls>
          <c:cat>
            <c:strRef>
              <c:f>'Annex 1 in report'!$M$179:$M$181</c:f>
              <c:strCache>
                <c:ptCount val="3"/>
                <c:pt idx="0">
                  <c:v>completed</c:v>
                </c:pt>
                <c:pt idx="1">
                  <c:v>in progres</c:v>
                </c:pt>
                <c:pt idx="2">
                  <c:v>not started</c:v>
                </c:pt>
              </c:strCache>
            </c:strRef>
          </c:cat>
          <c:val>
            <c:numRef>
              <c:f>'Annex 1 in report'!$N$179:$N$181</c:f>
              <c:numCache>
                <c:formatCode>General</c:formatCode>
                <c:ptCount val="3"/>
                <c:pt idx="0">
                  <c:v>3</c:v>
                </c:pt>
                <c:pt idx="1">
                  <c:v>2</c:v>
                </c:pt>
                <c:pt idx="2">
                  <c:v>0</c:v>
                </c:pt>
              </c:numCache>
            </c:numRef>
          </c:val>
          <c:extLst xmlns:c16r2="http://schemas.microsoft.com/office/drawing/2015/06/chart">
            <c:ext xmlns:c16="http://schemas.microsoft.com/office/drawing/2014/chart" uri="{C3380CC4-5D6E-409C-BE32-E72D297353CC}">
              <c16:uniqueId val="{00000003-326A-4CF1-8569-E6FBFF50C4D9}"/>
            </c:ext>
          </c:extLst>
        </c:ser>
        <c:dLbls>
          <c:showLegendKey val="0"/>
          <c:showVal val="0"/>
          <c:showCatName val="1"/>
          <c:showSerName val="0"/>
          <c:showPercent val="1"/>
          <c:showBubbleSize val="0"/>
          <c:showLeaderLines val="1"/>
        </c:dLbls>
        <c:firstSliceAng val="0"/>
        <c:holeSize val="50"/>
      </c:doughnutChart>
    </c:plotArea>
    <c:plotVisOnly val="1"/>
    <c:dispBlanksAs val="zero"/>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8</TotalTime>
  <Pages>91</Pages>
  <Words>39721</Words>
  <Characters>226414</Characters>
  <Application>Microsoft Office Word</Application>
  <DocSecurity>0</DocSecurity>
  <Lines>1886</Lines>
  <Paragraphs>531</Paragraphs>
  <ScaleCrop>false</ScaleCrop>
  <HeadingPairs>
    <vt:vector size="2" baseType="variant">
      <vt:variant>
        <vt:lpstr>Title</vt:lpstr>
      </vt:variant>
      <vt:variant>
        <vt:i4>1</vt:i4>
      </vt:variant>
    </vt:vector>
  </HeadingPairs>
  <TitlesOfParts>
    <vt:vector size="1" baseType="lpstr">
      <vt:lpstr>REFORMA PER MENAXHIMIN E FINANCAVE PUBLIKE 2014-2020</vt:lpstr>
    </vt:vector>
  </TitlesOfParts>
  <Company/>
  <LinksUpToDate>false</LinksUpToDate>
  <CharactersWithSpaces>265604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REFORMA PER MENAXHIMIN E FINANCAVE PUBLIKE 2014-2020</dc:title>
  <dc:subject/>
  <dc:creator>E</dc:creator>
  <cp:keywords/>
  <dc:description/>
  <cp:lastModifiedBy>Blerina Gjaci</cp:lastModifiedBy>
  <cp:revision>4</cp:revision>
  <dcterms:created xsi:type="dcterms:W3CDTF">2019-09-24T12:59:00Z</dcterms:created>
  <dcterms:modified xsi:type="dcterms:W3CDTF">2019-09-25T11:28:00Z</dcterms:modified>
</cp:coreProperties>
</file>